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KaffeeV 2001 — Straftaten und Ordnungswidrigkeiten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59 Abs. 1 Nr. 21 Buchstabe a des Lebensmittel- und Futtermittelgesetzbuches wird bestraft, wer entgegen § 3 Satz 1 Lebensmittel in den Verkehr bringt.</w:t>
      </w:r>
    </w:p>
    <w:p>
      <w:r>
        <w:t xml:space="preserve">(2) Wer eine in Absatz 1 bezeichnete Handlung fahrlässig begeht, handelt nach § 60 Abs. 1 des Lebensmittel- und Futtermittelgesetzbuches ordnungswidrig.</w:t>
      </w:r>
    </w:p>
    <w:p>
      <w:r>
        <w:t xml:space="preserve">(3) Ordnungswidrig im Sinne des § 60 Abs. 2 Nr. 26 Buchstabe a des Lebensmittel- und Futtermittelgesetzbuches handelt, wer vorsätzlich oder fahrlässig entgegen § 2 Abs. 3 Satz 1, auch in Verbindung mit Satz 2, ein Erzeugnis in den Verkehr bringt.</w:t>
      </w:r>
    </w:p>
    <w:p>
      <w:r>
        <w:rPr>
          <w:color w:val="555555"/>
          <w:sz w:val="17"/>
        </w:rPr>
        <w:t xml:space="preserve">Zitiervorschlag: § 5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