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KaffeeV 2001 — Analysenmethoden</w:t>
      </w:r>
    </w:p>
    <w:p>
      <w:r>
        <w:rPr>
          <w:color w:val="555555"/>
          <w:sz w:val="18"/>
        </w:rPr>
        <w:t xml:space="preserve">Verordnung über Kaffee, Kaffee- und Zichorien-Extrakte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zur Bestimmung des freien Kohlenhydratgehaltes und des Gesamtkohlenhydratgehaltes von löslichen Kaffees verwendeten Analysenmethoden müssen hinsichtlich der im Anhang unter den Nummern 1 und 2 der Richtlinie 85/591/EWG des Rates vom 20. Dezember 1985 zur Einführung gemeinschaftlicher Probenahmeverfahren und Analysenmethoden für die Kontrolle von Lebensmitteln (ABl. EG Nr. L 372 S. 50) aufgeführten erforderlichen Kriterien getestet sein.</w:t>
      </w:r>
    </w:p>
    <w:p>
      <w:r>
        <w:rPr>
          <w:color w:val="555555"/>
          <w:sz w:val="17"/>
        </w:rPr>
        <w:t xml:space="preserve">Zitiervorschlag: § 4 KaffeeV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https://recht.nulegal.eu/gesetze/KaffeeV%202001/4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