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KaffeeV 2001 — Verkehrsverbote</w:t>
      </w:r>
    </w:p>
    <w:p>
      <w:r>
        <w:rPr>
          <w:color w:val="555555"/>
          <w:sz w:val="18"/>
        </w:rPr>
        <w:t xml:space="preserve">Verordnung über Kaffee, Kaffee- und Zichorien-Extrakte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Gewerbsmäßig dürfen nicht in den Verkehr gebracht werden</w:t>
      </w:r>
    </w:p>
    <w:p>
      <w:pPr>
        <w:ind w:left="420"/>
      </w:pPr>
      <w:r>
        <w:t xml:space="preserve">1. Lebensmittel, die mit einer in der Anlage aufgeführten Bezeichnung versehen sind, ohne der betreffenden Begriffsbestimmung zu entsprechen,</w:t>
      </w:r>
    </w:p>
    <w:p>
      <w:pPr>
        <w:ind w:left="420"/>
      </w:pPr>
      <w:r>
        <w:t xml:space="preserve">2. Röstkaffee, der mehr als zwei Gramm kaffeefremde Bestandteile in einem Kilogramm enthält, wenn er nicht als unverlesener Kaffee oder Ausschusskaffee kenntlich gemacht ist,</w:t>
      </w:r>
    </w:p>
    <w:p>
      <w:pPr>
        <w:ind w:left="420"/>
      </w:pPr>
      <w:r>
        <w:t xml:space="preserve">3. Kaffee-Extrakte und Zichorien-Extrakte, die entgegen § 2 Abs. 2 Satz 1 mit der Angabe "konzentriert" versehen sind.</w:t>
      </w:r>
    </w:p>
    <w:p>
      <w:r>
        <w:t xml:space="preserve">Im Falle des Satzes 1 Nr. 2 bleiben der Gehalt an zugelassenen Lebensmittelzusatzstoffen in Röstkaffee und der Gehalt an Kandiermitteln in kandiertem Kaffee bei der Anwendung dieser Vorschrift unberücksichtigt.</w:t>
      </w:r>
    </w:p>
    <w:p>
      <w:r>
        <w:rPr>
          <w:color w:val="555555"/>
          <w:sz w:val="17"/>
        </w:rPr>
        <w:t xml:space="preserve">Zitiervorschlag: § 3 KaffeeV 2001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https://recht.nulegal.eu/gesetze/KaffeeV%202001/3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