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KaffeeV 2001 — Anwendungsbereich</w:t>
      </w:r>
    </w:p>
    <w:p>
      <w:r>
        <w:rPr>
          <w:color w:val="555555"/>
          <w:sz w:val="18"/>
        </w:rPr>
        <w:t xml:space="preserve">Verordnung über Kaffee, Kaffee- und Zichorien-Extrakte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der Anlage aufgeführten Erzeugnisse unterliegen dieser Verordnung, soweit sie dazu bestimmt sind, als Lebensmittel gewerbsmäßig in den Verkehr gebracht zu werden.</w:t>
      </w:r>
    </w:p>
    <w:p>
      <w:r>
        <w:t xml:space="preserve">(2) Diese Verordnung gilt nicht für "Cafe torrefacto soluble".</w:t>
      </w:r>
    </w:p>
    <w:p>
      <w:r>
        <w:rPr>
          <w:color w:val="555555"/>
          <w:sz w:val="17"/>
        </w:rPr>
        <w:t xml:space="preserve">Zitiervorschlag: § 1 KaffeeV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https://recht.nulegal.eu/gesetze/KaffeeV%202001/1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