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KaffeeStV 2010 — Überprüfung der Erlaubnis</w:t>
      </w:r>
    </w:p>
    <w:p>
      <w:r>
        <w:rPr>
          <w:color w:val="555555"/>
          <w:sz w:val="18"/>
        </w:rPr>
        <w:t xml:space="preserve">Kaffeesteuerverordnung</w:t>
      </w:r>
    </w:p>
    <w:p>
      <w:r>
        <w:rPr>
          <w:color w:val="555555"/>
          <w:sz w:val="18"/>
        </w:rPr>
        <w:t xml:space="preserve">Stand: 08.09.2021 (konsolidierte Textfassung, kein amtliches Inkrafttretensdatum)</w:t>
      </w:r>
    </w:p>
    <w:p>
      <w:r>
        <w:t xml:space="preserve">Das Hauptzollamt überprüft unbeschadet anlassbezogener Überprüfungsmaßnahmen regelmäßig, ob die Verpflichtungen aus der Erlaubnis nach § 5 eingehalten werden. Zudem überprüft es regelmäßig, ob der Erlaubnisinhaber die Bedingungen und Voraussetzungen für die Erlaubnis weiterhin erfüllt. Die regelmäßigen Überprüfungsmaßnahmen werden innerhalb von drei Jahren nach der letzten Überprüfungsmaßnahme oder der Neuerteilung durchgeführt.</w:t>
      </w:r>
    </w:p>
    <w:p>
      <w:r>
        <w:rPr>
          <w:color w:val="555555"/>
          <w:sz w:val="17"/>
        </w:rPr>
        <w:t xml:space="preserve">Zitiervorschlag: § 6a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