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KaffeeStV 2010 — Erteilung der Erlaubnis</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Das Hauptzollamt erteilt schriftlich oder elektronisch unter Widerrufsvorbehalt die Erlaubnis in dem vom Antragsteller beantragten zulässigen Umfang. Dabei sind die Räume, Flächen und Einrichtungen des Steuerlagers oder der Steuerlager sowie die nach § 3 Absatz 2 zulässigen Handlungen zu bestimmen. Mit der Erlaubnis werden für den Steuerlagerinhaber und für jedes Steuerlager Verbrauchsteuernummern vergeben. Vor der Erteilung der Erlaubnis ist Sicherheit nach § 6 zu leisten, soweit Anzeichen für eine Gefährdung der Steuer erkennbar sind. Die Erlaubnis kann mit Nebenbestimmungen nach § 120 der Abgabenordnung versehen werden.</w:t>
      </w:r>
    </w:p>
    <w:p>
      <w:r>
        <w:t xml:space="preserve">(2) Für die Belieferung des Groß- und Einzelhandels wird eine Erlaubnis nur erteilt, wenn ein besonderes wirtschaftliches Bedürfnis besteht und Belange der Steueraufsicht dem nicht entgegenstehen.</w:t>
      </w:r>
    </w:p>
    <w:p>
      <w:r>
        <w:t xml:space="preserve">(3) In den Fällen des § 4 Absatz 3 wird die Erlaubnis erweitert. Die Absätze 1 und 2 bleiben unberührt.</w:t>
      </w:r>
    </w:p>
    <w:p>
      <w:r>
        <w:rPr>
          <w:color w:val="555555"/>
          <w:sz w:val="17"/>
        </w:rPr>
        <w:t xml:space="preserve">Zitiervorschlag: § 5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