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KaffeeStV 2010 — Aufnahme von versteuertem Kaffee in ein Steuerlager</w:t>
      </w:r>
    </w:p>
    <w:p>
      <w:r>
        <w:rPr>
          <w:color w:val="555555"/>
          <w:sz w:val="18"/>
        </w:rPr>
        <w:t xml:space="preserve">Kaffeesteuerverordnung</w:t>
      </w:r>
    </w:p>
    <w:p>
      <w:r>
        <w:rPr>
          <w:color w:val="555555"/>
          <w:sz w:val="18"/>
        </w:rPr>
        <w:t xml:space="preserve">Stand: 09.11.2022 (konsolidierte Textfassung, kein amtliches Inkrafttretensdatum)</w:t>
      </w:r>
    </w:p>
    <w:p>
      <w:r>
        <w:t xml:space="preserve">(1) Der Steuerlagerinhaber hat über die Aufnahme von versteuertem Kaffee nach § 21 Absatz 1 des Gesetzes Aufzeichnungen nach amtlich vorgeschriebenem Vordruck zu führen. Das Hauptzollamt kann auch betriebliche Aufzeichnungen zulassen, wenn dadurch Steuerbelange nicht beeinträchtigt werden.</w:t>
      </w:r>
    </w:p>
    <w:p>
      <w:r>
        <w:t xml:space="preserve">(2) Wer im Fall des § 21 Absatz 1 des Gesetzes eine Kaffeesteuervergütung beantragt, hat als Nachweis der Versteuerung im Steuergebiet dem Hauptzollamt eine Versteuerungsbestätigung des Herstellers oder Steuerschuldners oder anderen Verkäufers nach amtlich vorgeschriebenem Vordruck vorzulegen.</w:t>
      </w:r>
    </w:p>
    <w:p>
      <w:r>
        <w:t xml:space="preserve">(3) Die Anträge auf Steuerentlastung nach § 21 Absatz 1 des Gesetzes werden in der Steueranmeldung (§ 20 Absatz 1) des Steuerlagerinhabers gestellt.</w:t>
      </w:r>
    </w:p>
    <w:p>
      <w:r>
        <w:t xml:space="preserve">(4) In den Fällen des § 21 Absatz 4 des Gesetzes gelten hinsichtlich der Nachweisführung die §§ 14, 16, 17, 33 und 34 entsprechend. Die Frist nach § 21 Absatz 4 Satz 3 des Gesetzes beginnt mit der schriftlichen Bekanntgabe der Feststellung der Unwirksamkeit gegenüber dem Steuerschuldner.</w:t>
      </w:r>
    </w:p>
    <w:p>
      <w:r>
        <w:rPr>
          <w:color w:val="555555"/>
          <w:sz w:val="17"/>
        </w:rPr>
        <w:t xml:space="preserve">Zitiervorschlag: § 31 KaffeeStV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https://recht.nulegal.eu/gesetze/KaffeeStV%202010/31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