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KaffeeStV 2010 — Unregelmäßigkeiten während der Beförderung von Kaffee oder kaffeehaltigen Waren des zollrechtlich freien Verkehrs</w:t>
      </w:r>
    </w:p>
    <w:p>
      <w:r>
        <w:rPr>
          <w:color w:val="555555"/>
          <w:sz w:val="18"/>
        </w:rPr>
        <w:t xml:space="preserve">Kaffeesteuerverordnung</w:t>
      </w:r>
    </w:p>
    <w:p>
      <w:r>
        <w:rPr>
          <w:color w:val="555555"/>
          <w:sz w:val="18"/>
        </w:rPr>
        <w:t xml:space="preserve">Stand: 08.09.2021 (konsolidierte Textfassung, kein amtliches Inkrafttretensdatum)</w:t>
      </w:r>
    </w:p>
    <w:p>
      <w:r>
        <w:t xml:space="preserve">(1) Sind Kaffee oder kaffeehaltige Waren während der Beförderung infolge unvorhersehbarer Ereignisse oder höherer Gewalt vollständig zerstört oder vollständig oder teilweise unwiederbringlich verloren gegangen, hat der Beförderer dies dem Hauptzollamt unverzüglich anzuzeigen und durch geeignete Unterlagen nachzuweisen.</w:t>
      </w:r>
    </w:p>
    <w:p>
      <w:r>
        <w:t xml:space="preserve">(2) Die Steueranmeldung nach § 19 Absatz 4 des Gesetzes ist nach amtlich vorgeschriebenem Vordruck abzugeben. Für die Überprüfung der Steueranmeldung gilt § 20 Absatz 2 entsprechend.</w:t>
      </w:r>
    </w:p>
    <w:p>
      <w:r>
        <w:rPr>
          <w:color w:val="555555"/>
          <w:sz w:val="17"/>
        </w:rPr>
        <w:t xml:space="preserve">Zitiervorschlag: § 28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