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KaffeeStV 2010 — Durchfuhr</w:t>
      </w:r>
    </w:p>
    <w:p>
      <w:r>
        <w:rPr>
          <w:color w:val="555555"/>
          <w:sz w:val="18"/>
        </w:rPr>
        <w:t xml:space="preserve">Kaffeesteuerverordnung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Anzeige nach § 17 Absatz 4 Satz 2 des Gesetzes ist vom Beförderer vor der Durchfuhr beim Hauptzollamt Stuttgart abzugeben.</w:t>
      </w:r>
    </w:p>
    <w:p>
      <w:r>
        <w:rPr>
          <w:color w:val="555555"/>
          <w:sz w:val="17"/>
        </w:rPr>
        <w:t xml:space="preserve">Zitiervorschlag: § 26 KaffeeStV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https://recht.nulegal.eu/gesetze/KaffeeStV%202010/26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