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KaffeeStV 2010 — Beförderungen zu gewerblichen Zwecken</w:t>
      </w:r>
    </w:p>
    <w:p>
      <w:r>
        <w:rPr>
          <w:color w:val="555555"/>
          <w:sz w:val="18"/>
        </w:rPr>
        <w:t xml:space="preserve">Kaffeesteuerverordnung</w:t>
      </w:r>
    </w:p>
    <w:p>
      <w:r>
        <w:rPr>
          <w:color w:val="555555"/>
          <w:sz w:val="18"/>
        </w:rPr>
        <w:t xml:space="preserve">Stand: 08.09.2021 (konsolidierte Textfassung, kein amtliches Inkrafttretensdatum)</w:t>
      </w:r>
    </w:p>
    <w:p>
      <w:r>
        <w:t xml:space="preserve">Die Anzeige nach § 17 Absatz 4 Satz 1 des Gesetzes ist im Voraus beim Hauptzollamt nach amtlich vorgeschriebenem Vordruck abzugeben. Auf Verlangen des Hauptzollamts hat der zur Anzeige Verpflichtete weitere Angaben zu machen, Aufzeichnungen über den Bezug des Kaffees oder der kaffeehaltigen Waren zu führen und diesen oder diese unverändert vorzuführen, wenn dies zur Sicherung des Steueraufkommens oder für die Steueraufsicht erforderlich erscheint. Die Steueranmeldung nach § 17 Absatz 5 Satz 1 des Gesetzes ist nach amtlich vorgeschriebenem Vordruck abzugeben. Für die Überprüfung der Steueranmeldung gilt § 20 Absatz 2 entsprechend.</w:t>
      </w:r>
    </w:p>
    <w:p>
      <w:r>
        <w:rPr>
          <w:color w:val="555555"/>
          <w:sz w:val="17"/>
        </w:rPr>
        <w:t xml:space="preserve">Zitiervorschlag: § 24 KaffeeStV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https://recht.nulegal.eu/gesetze/KaffeeStV%202010/24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