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KaffeeStV 2010 — Kaffeemenge, Kaffeeart, Herstellung</w:t>
      </w:r>
    </w:p>
    <w:p>
      <w:r>
        <w:rPr>
          <w:color w:val="555555"/>
          <w:sz w:val="18"/>
        </w:rPr>
        <w:t xml:space="preserve">Kaffeesteuerverordnung</w:t>
      </w:r>
    </w:p>
    <w:p>
      <w:r>
        <w:rPr>
          <w:color w:val="555555"/>
          <w:sz w:val="18"/>
        </w:rPr>
        <w:t xml:space="preserve">Stand: 10.06.2019 (konsolidierte Textfassung, kein amtliches Inkrafttretensdatum)</w:t>
      </w:r>
    </w:p>
    <w:p>
      <w:r>
        <w:t xml:space="preserve">(1) Bei löslichem Kaffee in Form von flüssigen Auszügen, Essenzen und Konzentraten bestimmt sich die Kaffeemenge nach der Trockenmasse. Lässt sich nicht feststellen, ob eine Ware Röstkaffee oder löslicher Kaffee ist, ist sie im Zweifel als löslicher Kaffee einzuordnen. Die Sätze 1 und 2 gelten für den Kaffeeanteil in kaffeehaltigen Waren entsprechend.</w:t>
      </w:r>
    </w:p>
    <w:p>
      <w:r>
        <w:t xml:space="preserve">(2) Eine Herstellung von Kaffee liegt auch dann vor, wenn Kaffee in seiner Beschaffenheit so verändert wird, dass sich dadurch die Besteuerungsgrundlage für die gleiche Kaffeeart verändert. Dies gilt für Veränderungen außerhalb des Steueraussetzungsverfahrens nur, wenn sie zu einer Mengenvermehrung führen.</w:t>
      </w:r>
    </w:p>
    <w:p>
      <w:r>
        <w:rPr>
          <w:color w:val="555555"/>
          <w:sz w:val="17"/>
        </w:rPr>
        <w:t xml:space="preserve">Zitiervorschlag: § 2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