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KaffeeStV 2010 — Hauptzollamt; örtliche Zuständigkeit</w:t>
      </w:r>
    </w:p>
    <w:p>
      <w:r>
        <w:rPr>
          <w:color w:val="555555"/>
          <w:sz w:val="18"/>
        </w:rPr>
        <w:t xml:space="preserve">Kaffeesteuerverordnung</w:t>
      </w:r>
    </w:p>
    <w:p>
      <w:r>
        <w:rPr>
          <w:color w:val="555555"/>
          <w:sz w:val="18"/>
        </w:rPr>
        <w:t xml:space="preserve">Stand: 08.09.2021 (konsolidierte Textfassung, kein amtliches Inkrafttretensdatum)</w:t>
      </w:r>
    </w:p>
    <w:p>
      <w:r>
        <w:t xml:space="preserve">Soweit in dieser Verordnung oder in der Hauptzollamtszuständigkeitsverordnung nichts anderes bestimmt ist, ist für den Anwendungsbereich dieser Verordnung</w:t>
      </w:r>
    </w:p>
    <w:p>
      <w:pPr>
        <w:ind w:left="420"/>
      </w:pPr>
      <w:r>
        <w:t xml:space="preserve">1. das Hauptzollamt örtlich zuständig, von dessen Bezirk aus die in den einzelnen Vorschriften jeweils bezeichnete Person ihr Unternehmen betreibt oder, falls sie kein Unternehmen betreibt, in dessen Bezirk die Person ihren Hauptwohnsitz hat, und</w:t>
      </w:r>
    </w:p>
    <w:p>
      <w:pPr>
        <w:ind w:left="420"/>
      </w:pPr>
      <w:r>
        <w:t xml:space="preserve">2. für Unternehmen, die von einem Ort außerhalb des Steuergebiets betrieben werden, oder für Personen ohne Hauptwohnsitz im Steuergebiet das Hauptzollamt örtlich zuständig, in dessen Bezirk die Unternehmen oder Personen erstmals steuerlich in Erscheinung treten.</w:t>
      </w:r>
    </w:p>
    <w:p>
      <w:r>
        <w:rPr>
          <w:color w:val="555555"/>
          <w:sz w:val="17"/>
        </w:rPr>
        <w:t xml:space="preserve">Zitiervorschlag: § 1a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