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KaffeeStV 2010 — Bestandsaufnahme im Steuerlager</w:t>
      </w:r>
    </w:p>
    <w:p>
      <w:r>
        <w:rPr>
          <w:color w:val="555555"/>
          <w:sz w:val="18"/>
        </w:rPr>
        <w:t xml:space="preserve">Kaffeesteuerverordnung</w:t>
      </w:r>
    </w:p>
    <w:p>
      <w:r>
        <w:rPr>
          <w:color w:val="555555"/>
          <w:sz w:val="18"/>
        </w:rPr>
        <w:t xml:space="preserve">Stand: 08.09.2021 (konsolidierte Textfassung, kein amtliches Inkrafttretensdatum)</w:t>
      </w:r>
    </w:p>
    <w:p>
      <w:r>
        <w:t xml:space="preserve">(1) Der Steuerlagerinhaber hat einmal jährlich im Steuerlager eine Bestandsaufnahme durchzuführen und beim Hauptzollamt innerhalb eines Monats nach ihrem Abschluss den Soll- und Istbestand sowie das Ergebnis nach amtlich vorgeschriebenem Vordruck (Bestandsanmeldung) anzumelden und dabei zu Mengenabweichungen Stellung zu nehmen. Das Hauptzollamt kann zulassen, dass der Steuerlagerinhaber die Bestandsanmeldung in anderer Form abgibt, wenn Steuerbelange nicht beeinträchtigt werden. Der Steuerlagerinhaber hat den Beginn der Bestandsaufnahme dem Hauptzollamt spätestens drei Wochen im Voraus anzuzeigen.</w:t>
      </w:r>
    </w:p>
    <w:p>
      <w:r>
        <w:t xml:space="preserve">(2) Das Hauptzollamt kann unter Widerrufsvorbehalt zulassen, dass alle oder einzelne Bestände auf Grund einer permanenten Inventur festgestellt und angemeldet werden, wenn durch ein den Grundsätzen ordnungsmäßiger Buchführung entsprechendes Verfahren gesichert ist, dass die Bestände nach Art und Menge zum Stichtag der Bestandsanmeldung festgestellt werden können.</w:t>
      </w:r>
    </w:p>
    <w:p>
      <w:r>
        <w:t xml:space="preserve">(3) Auf Anordnung des Hauptzollamts sind die Bestände im Steuerlager amtlich festzustellen. Der Steuerlagerinhaber hat dazu auf Verlangen des Hauptzollamts die Bestände nach amtlich vorgeschriebenem Vordruck anzumelden und an der Bestandsaufnahme teilzunehmen. Er hat dafür zu sorgen, dass die Bestände mit möglichst geringem Aufwand festgestellt werden können.</w:t>
      </w:r>
    </w:p>
    <w:p>
      <w:r>
        <w:rPr>
          <w:color w:val="555555"/>
          <w:sz w:val="17"/>
        </w:rPr>
        <w:t xml:space="preserve">Zitiervorschlag: § 11 KaffeeStV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https://recht.nulegal.eu/gesetze/KaffeeStV%202010/11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