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10 KaffeeStV 2010 — Vollständige Zerstörung und unwiederbringlicher Gesamt- oder Teilverlust</w:t>
      </w:r>
    </w:p>
    <w:p>
      <w:r>
        <w:rPr>
          <w:color w:val="555555"/>
          <w:sz w:val="18"/>
        </w:rPr>
        <w:t xml:space="preserve">Kaffeesteuerverordnung</w:t>
      </w:r>
    </w:p>
    <w:p>
      <w:r>
        <w:rPr>
          <w:color w:val="555555"/>
          <w:sz w:val="18"/>
        </w:rPr>
        <w:t xml:space="preserve">Stand: 08.09.2021 (konsolidierte Textfassung, kein amtliches Inkrafttretensdatum)</w:t>
      </w:r>
    </w:p>
    <w:p>
      <w:r>
        <w:t xml:space="preserve">Ist Kaffee im Steuerlager unbeabsichtigt vollständig zerstört worden oder vollständig oder teilweise unwiederbringlich verloren gegangen, hat der Steuerlagerinhaber dies dem Hauptzollamt unverzüglich anzuzeigen und anhand betrieblicher Unterlagen nachzuweisen. Das Hauptzollamt kann Vereinfachungen zulassen und Anordnungen zur Nachweisführung treffen.</w:t>
      </w:r>
    </w:p>
    <w:p>
      <w:r>
        <w:rPr>
          <w:color w:val="555555"/>
          <w:sz w:val="17"/>
        </w:rPr>
        <w:t xml:space="preserve">Zitiervorschlag: § 10 KaffeeStV 2010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https://recht.nulegal.eu/gesetze/KaffeeStV%202010/10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