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 KaffeeStG 2009 — Steuerlager</w:t>
      </w:r>
    </w:p>
    <w:p>
      <w:r>
        <w:rPr>
          <w:color w:val="555555"/>
          <w:sz w:val="18"/>
        </w:rPr>
        <w:t xml:space="preserve">Kaffeesteuergesetz</w:t>
      </w:r>
    </w:p>
    <w:p>
      <w:r>
        <w:rPr>
          <w:color w:val="555555"/>
          <w:sz w:val="18"/>
        </w:rPr>
        <w:t xml:space="preserve">Stand: 10.06.2019 (konsolidierte Textfassung, kein amtliches Inkrafttretensdatum)</w:t>
      </w:r>
    </w:p>
    <w:p>
      <w:r>
        <w:t xml:space="preserve">(1) Steuerlager sind Orte, an und von denen Kaffee unter Steueraussetzung hergestellt, bearbeitet oder verarbeitet, gelagert, empfangen oder versandt werden darf.</w:t>
      </w:r>
    </w:p>
    <w:p>
      <w:r>
        <w:t xml:space="preserve">(2) Das Bundesministerium der Finanzen wird ermächtigt, durch Rechtsverordnung ohne Zustimmung des Bundesrates zur Sicherung des Steueraufkommens sowie zur Wahrung der Gleichmäßigkeit der Besteuerung zu bestimmen, welche Räume, Flächen, Anlagen und Betriebsteile zum Steuerlager gehören.</w:t>
      </w:r>
    </w:p>
    <w:p>
      <w:r>
        <w:rPr>
          <w:color w:val="555555"/>
          <w:sz w:val="17"/>
        </w:rPr>
        <w:t xml:space="preserve">Zitiervorschlag: § 5 KaffeeStG 2009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https://recht.nulegal.eu/gesetze/KaffeeStG%202009/5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