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24 KaffeeStG 2009 — Ordnungswidrigkeiten</w:t>
      </w:r>
    </w:p>
    <w:p>
      <w:r>
        <w:rPr>
          <w:color w:val="555555"/>
          <w:sz w:val="18"/>
        </w:rPr>
        <w:t xml:space="preserve">Kaffeesteuergesetz</w:t>
      </w:r>
    </w:p>
    <w:p>
      <w:r>
        <w:rPr>
          <w:color w:val="555555"/>
          <w:sz w:val="18"/>
        </w:rPr>
        <w:t xml:space="preserve">Stand: 01.07.2021 (konsolidierte Textfassung, kein amtliches Inkrafttretensdatum)</w:t>
      </w:r>
    </w:p>
    <w:p>
      <w:r>
        <w:t xml:space="preserve">Ordnungswidrig im Sinn des § 381 Absatz 1 Nummer 1 der Abgabenordnung handelt, wer vorsätzlich oder leichtfertig</w:t>
      </w:r>
    </w:p>
    <w:p>
      <w:pPr>
        <w:ind w:left="420"/>
      </w:pPr>
      <w:r>
        <w:t xml:space="preserve">1. entgegen § 9 Absatz 3 Kaffee nicht oder nicht rechtzeitig aufnimmt, nicht oder nicht rechtzeitig ausführt, nicht oder nicht rechtzeitig liefert oder nicht oder nicht rechtzeitig übernimmt oder</w:t>
      </w:r>
    </w:p>
    <w:p>
      <w:pPr>
        <w:ind w:left="420"/>
      </w:pPr>
      <w:r>
        <w:t xml:space="preserve">2. entgegen § 17 Absatz 4, auch in Verbindung mit § 3, eine Anzeige nicht oder nicht rechtzeitig erstattet.</w:t>
      </w:r>
    </w:p>
    <w:p>
      <w:r>
        <w:rPr>
          <w:color w:val="555555"/>
          <w:sz w:val="17"/>
        </w:rPr>
        <w:t xml:space="preserve">Zitiervorschlag: § 24 KaffeeStG 2009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https://recht.nulegal.eu/gesetze/KaffeeStG%202009/24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