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KaffeeStG 2009 — Unregelmäßigkeiten während der Beförderung</w:t>
      </w:r>
    </w:p>
    <w:p>
      <w:r>
        <w:rPr>
          <w:color w:val="555555"/>
          <w:sz w:val="18"/>
        </w:rPr>
        <w:t xml:space="preserve">Kaffeesteuergesetz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Treten während der Beförderung von Kaffee nach § 17 Absatz 1 und 2 oder nach § 18 Absatz 2 im Steuergebiet Unregelmäßigkeiten ein, entsteht die Steuer.</w:t>
      </w:r>
    </w:p>
    <w:p>
      <w:r>
        <w:t xml:space="preserve">(2) § 10 Absatz 1 und § 11 Absatz 4 gelten entsprechend.</w:t>
      </w:r>
    </w:p>
    <w:p>
      <w:r>
        <w:t xml:space="preserve">(3) Steuerschuldner ist derjenige, der die Sicherheit nach § 17 Absatz 4 Satz 1 oder § 18 Absatz 4 Satz 3 geleistet hat, jede Person, die an der Unregelmäßigkeit beteiligt war, und bei Unregelmäßigkeiten und in den Fällen des § 17 Absatz 2 Satz 2 Nummer 2 und 3 die Person, die den Kaffee in Besitz hält. § 11 Absatz 6 gilt entsprechend.</w:t>
      </w:r>
    </w:p>
    <w:p>
      <w:r>
        <w:t xml:space="preserve">(4) Der Steuerschuldner hat über Kaffee, für den die Steuer entstanden ist, unverzüglich eine Steueranmeldung abzugeben. Die Steuer ist sofort fällig.</w:t>
      </w:r>
    </w:p>
    <w:p>
      <w:r>
        <w:t xml:space="preserve">(5) Das Bundesministerium der Finanzen wird ermächtigt, durch Rechtsverordnung ohne Zustimmung des Bundesrates zur Sicherung des Steueraufkommens und zur Wahrung der Gleichmäßigkeit der Besteuerung Vorschriften zu den Absätzen 1 und 4 zu erlassen.</w:t>
      </w:r>
    </w:p>
    <w:p>
      <w:r>
        <w:rPr>
          <w:color w:val="555555"/>
          <w:sz w:val="17"/>
        </w:rPr>
        <w:t xml:space="preserve">Zitiervorschlag: § 19 KaffeeStG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https://recht.nulegal.eu/gesetze/KaffeeStG%202009/19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