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KaffeeStG 2009 — Unregelmäßigkeiten während der Beförderung</w:t>
      </w:r>
    </w:p>
    <w:p>
      <w:r>
        <w:rPr>
          <w:color w:val="555555"/>
          <w:sz w:val="18"/>
        </w:rPr>
        <w:t xml:space="preserve">Kaffeesteuergesetz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Als Unregelmäßigkeit gilt ein während der Beförderung unter Steueraussetzung eintretender Fall, mit Ausnahme der in § 11 Absatz 3 geregelten Fälle, auf Grund dessen eine Beförderung oder ein Teil der Beförderung nicht ordnungsgemäß beendet werden kann.</w:t>
      </w:r>
    </w:p>
    <w:p>
      <w:r>
        <w:t xml:space="preserve">(2) Treten während einer Beförderung des Kaffees nach § 9 im Steuergebiet Unregelmäßigkeiten ein, die eine Überführung in den steuerrechtlich freien Verkehr zur Folge haben, wird der Kaffee insoweit dem Verfahren der Steueraussetzung entnommen.</w:t>
      </w:r>
    </w:p>
    <w:p>
      <w:r>
        <w:t xml:space="preserve">(3) Das Bundesministerium der Finanzen wird ermächtigt, durch Rechtsverordnung ohne Zustimmung des Bundesrates zur Wahrung der Gleichmäßigkeit der Besteuerung Vorschriften zu Absatz 2 zu erlassen.</w:t>
      </w:r>
    </w:p>
    <w:p>
      <w:r>
        <w:rPr>
          <w:color w:val="555555"/>
          <w:sz w:val="17"/>
        </w:rPr>
        <w:t xml:space="preserve">Zitiervorschlag: § 10 KaffeeStG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https://recht.nulegal.eu/gesetze/KaffeeStG%202009/10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