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KaffeeRatVorRV</w:t>
      </w:r>
    </w:p>
    <w:p>
      <w:r>
        <w:rPr>
          <w:color w:val="555555"/>
          <w:sz w:val="18"/>
        </w:rPr>
        <w:t xml:space="preserve">Verordnung über die Gewährung von Vorrechten und Befreiungen an die Internationale Kaffee-Organisation nach der Entschließung Nr. 264 des Internationalen Kaffee-Rates vom 14. April 1973 zur Verlängerung des Internationalen Kaffee-Übereinkommens 1968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Gewährung von Vorrechten und Befreiungen an die Internationale Kaffe-Organisation gilt das Internationale Kaffee-Übereinkommen 1968 (Bundesgesetzbl. 1968 II S. 665) in der Fassung der Entschließung Nr. 264 des Internationalen Kaffee-Rates vom 14. April 1973 zur Verlängerung des Internationalen Kaffee-Übereinkommens 1968. Die Entschließung wird nachstehend veröffentlicht.</w:t>
      </w:r>
    </w:p>
    <w:p>
      <w:r>
        <w:rPr>
          <w:color w:val="555555"/>
          <w:sz w:val="17"/>
        </w:rPr>
        <w:t xml:space="preserve">Zitiervorschlag: § 1 KaffeeRatVorRV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https://recht.nulegal.eu/gesetze/KaffeeRatVorRV/1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