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KaffeeÜbk1983OrgVorRV</w:t>
      </w:r>
    </w:p>
    <w:p>
      <w:r>
        <w:rPr>
          <w:color w:val="555555"/>
          <w:sz w:val="18"/>
        </w:rPr>
        <w:t xml:space="preserve">Verordnung über die Gewährung von Vorrechten und Immunitäten an die Internationale Kaffee-Organisation gem. Art. 23 des Internationalen Kaffee-Übereinkommens von 1983 in der Fassung der Verlängerung vom 4. Juli 1989</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das Gesetz vom 16. August 1980 (BGBl. 1980 II S. 941) neu gefaßt wurde, verordnet die Bundesregierung:</w:t>
      </w:r>
    </w:p>
    <w:p>
      <w:r>
        <w:rPr>
          <w:color w:val="555555"/>
          <w:sz w:val="17"/>
        </w:rPr>
        <w:t xml:space="preserve">Zitiervorschlag: Eingangsformel KaffeeÜbk1983OrgVorRV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https://recht.nulegal.eu/gesetze/Kaffee%C3%9Cbk1983OrgVorRV/eingangsformel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