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KaFbMstrV 2020</w:t>
      </w:r>
    </w:p>
    <w:p>
      <w:r>
        <w:rPr>
          <w:color w:val="555555"/>
          <w:sz w:val="18"/>
        </w:rPr>
        <w:t xml:space="preserve">Karosserie- und Fahrzeugbauermeisterverordnung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Auf Grund des § 45 Absatz 1 der Handwerksordnung in der Fassung der Bekanntmachung vom 24. September 1998 (BGBl. I S. 3074; 2006 I S. 2095), der zuletzt durch Artikel 283 der Verordnung vom 31. August 2015 (BGBl. I S. 1474) geändert worden ist,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KaFbMstrV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https://recht.nulegal.eu/gesetze/KaFbMstrV%202020/eingangsformel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