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KaFbMstrV 2020 — Gewichtung; Bestehen der Prüfung in Teil I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