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KaFbMstrV 2020 — Ziel und Gliederung der Prüfung in Teil I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Karosserie- und Fahrzeugbauer-Handwerks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