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KaFbMstrV 2020 — Gegenstand</w:t>
      </w:r>
    </w:p>
    <w:p>
      <w:r>
        <w:rPr>
          <w:color w:val="555555"/>
          <w:sz w:val="18"/>
        </w:rPr>
        <w:t xml:space="preserve">Karosserie- und Fahrzeugbauermeisterverordnung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Diese Verordnung regelt das Meisterprüfungsberufsbild sowie die in der Prüfung in den Teilen I und II der Meisterprüfung im Karosserie- und Fahrzeugbauer-Handwerk zu stellenden Anforderungen.</w:t>
      </w:r>
    </w:p>
    <w:p>
      <w:r>
        <w:rPr>
          <w:color w:val="555555"/>
          <w:sz w:val="17"/>
        </w:rPr>
        <w:t xml:space="preserve">Zitiervorschlag: § 1 KaFbMstrV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https://recht.nulegal.eu/gesetze/KaFbMstrV%202020/1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