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KWaldV (Bayern)</w:t>
      </w:r>
    </w:p>
    <w:p>
      <w:r>
        <w:rPr>
          <w:color w:val="555555"/>
          <w:sz w:val="18"/>
        </w:rPr>
        <w:t xml:space="preserve">Körperschaftswaldverordnung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19 Abs. 6 des Waldgesetzes für Bayern (BayWaldG) in der Fassung der Bekanntmachung vom 22. Juli 2005 (GVBl S. 313, BayRS 7902-1-L) erlässt das Bayerische Staatsministerium für Landwirtschaft und Forsten im Einvernehmen mit den Bayerischen Staatsministerien des Innern und der Finanzen folgende Verordnung:</w:t>
      </w:r>
    </w:p>
    <w:p>
      <w:r>
        <w:rPr>
          <w:color w:val="555555"/>
          <w:sz w:val="17"/>
        </w:rPr>
        <w:t xml:space="preserve">Zitiervorschlag: Eingangsformel KWaldV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https://recht.nulegal.eu/gesetze/KWaldV/eingangsformel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