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KWahlGV (Brandenburg) — Aufstellung des Stimmenzählgerätes</w:t>
      </w:r>
    </w:p>
    <w:p>
      <w:r>
        <w:rPr>
          <w:color w:val="555555"/>
          <w:sz w:val="18"/>
        </w:rPr>
        <w:t xml:space="preserve">Kommunalwahlgeräteverordnung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Das Stimmenzählgerät ist so aufzustellen, dass jeder</w:t>
      </w:r>
    </w:p>
    <w:p>
      <w:r>
        <w:t xml:space="preserve">Wähler seine Stimme(n) unbeobachtet abgeben kann.</w:t>
      </w:r>
    </w:p>
    <w:p>
      <w:r>
        <w:rPr>
          <w:color w:val="555555"/>
          <w:sz w:val="17"/>
        </w:rPr>
        <w:t xml:space="preserve">Zitiervorschlag: § 9 KWahlGV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https://recht.nulegal.eu/gesetze/KWahlGV/9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