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KWahlGV (Brandenburg) — Ausstattung des Wahlvorstandes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Wahlbehörde übergibt dem Wahlvorsteher vor</w:t>
      </w:r>
    </w:p>
    <w:p>
      <w:r>
        <w:t xml:space="preserve">Beginn der Wahlhandlung außer den in § 44 Abs. 1 der</w:t>
      </w:r>
    </w:p>
    <w:p>
      <w:r>
        <w:t xml:space="preserve">Brandenburgischen Kommunalwahlverordnung aufgeführten Gegenständen</w:t>
      </w:r>
    </w:p>
    <w:p>
      <w:r>
        <w:t xml:space="preserve">das Stimmenzählgerät mit den dazugehörenden Schlüsseln</w:t>
      </w:r>
    </w:p>
    <w:p>
      <w:r>
        <w:t xml:space="preserve">und dem sonstigen Zubehör,</w:t>
      </w:r>
    </w:p>
    <w:p>
      <w:r>
        <w:t xml:space="preserve">eine Abbildung der Seite des Stimmenzählgerätes, an der der</w:t>
      </w:r>
    </w:p>
    <w:p>
      <w:r>
        <w:t xml:space="preserve">Wähler seine Stimme(n) abgeben kann, nebst gerätespezifischer</w:t>
      </w:r>
    </w:p>
    <w:p>
      <w:r>
        <w:t xml:space="preserve">Darstellung der Wahlvorschläge und einer Anleitung zur Stimmabgabe mit dem</w:t>
      </w:r>
    </w:p>
    <w:p>
      <w:r>
        <w:t xml:space="preserve">Stimmenzählgerät, zum Aushang im Wahllokal,</w:t>
      </w:r>
    </w:p>
    <w:p>
      <w:r>
        <w:t xml:space="preserve">ein Exemplar der Bedienungsanleitung,</w:t>
      </w:r>
    </w:p>
    <w:p>
      <w:r>
        <w:t xml:space="preserve">Material zum Versiegeln des Stimmenzählgerätes und des</w:t>
      </w:r>
    </w:p>
    <w:p>
      <w:r>
        <w:t xml:space="preserve">Zubehörs,</w:t>
      </w:r>
    </w:p>
    <w:p>
      <w:r>
        <w:t xml:space="preserve">eine Textausgabe dieser Verordnung, die die Anlagen nicht zu enthalten</w:t>
      </w:r>
    </w:p>
    <w:p>
      <w:r>
        <w:t xml:space="preserve">braucht,</w:t>
      </w:r>
    </w:p>
    <w:p>
      <w:r>
        <w:t xml:space="preserve">eine Baugleichheitserklärung des Herstellers nach § 2</w:t>
      </w:r>
    </w:p>
    <w:p>
      <w:r>
        <w:t xml:space="preserve">Abs. 4 und</w:t>
      </w:r>
    </w:p>
    <w:p>
      <w:r>
        <w:t xml:space="preserve">einen Vordruck der Wahlniederschrift nach dem Muster der Anlage 1 oder</w:t>
      </w:r>
    </w:p>
    <w:p>
      <w:r>
        <w:t xml:space="preserve">2.</w:t>
      </w:r>
    </w:p>
    <w:p>
      <w:r>
        <w:t xml:space="preserve">(2) Das Stimmenzählgerät muss dem amtlichen</w:t>
      </w:r>
    </w:p>
    <w:p>
      <w:r>
        <w:t xml:space="preserve">Stimmzettel entsprechend beschriftet sein, wobei auf die Möglichkeit der</w:t>
      </w:r>
    </w:p>
    <w:p>
      <w:r>
        <w:t xml:space="preserve">Abgabe ungültiger Stimmen hingewiesen sein muss. Das Gerät mit allen</w:t>
      </w:r>
    </w:p>
    <w:p>
      <w:r>
        <w:t xml:space="preserve">Einstellungen und Vorrichtungen muss in dem für den Beginn einer Wahl</w:t>
      </w:r>
    </w:p>
    <w:p>
      <w:r>
        <w:t xml:space="preserve">ordnungsgemäßen Zustand sein.</w:t>
      </w:r>
    </w:p>
    <w:p>
      <w:r>
        <w:rPr>
          <w:color w:val="555555"/>
          <w:sz w:val="17"/>
        </w:rPr>
        <w:t xml:space="preserve">Zitiervorschlag: § 8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