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KWahlGV (Brandenburg) — Wahlbekanntmachung</w:t>
      </w:r>
    </w:p>
    <w:p>
      <w:r>
        <w:rPr>
          <w:color w:val="555555"/>
          <w:sz w:val="18"/>
        </w:rPr>
        <w:t xml:space="preserve">Kommunalwahlgeräteverordnung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Wahlbehörde weist in der Wahlbekanntmachung</w:t>
      </w:r>
    </w:p>
    <w:p>
      <w:r>
        <w:t xml:space="preserve">über § 42 Abs. 1 der Brandenburgischen Kommunalwahlverordnung</w:t>
      </w:r>
    </w:p>
    <w:p>
      <w:r>
        <w:t xml:space="preserve">hinaus darauf hin, in welchen Wahlbezirken Stimmenzählgeräte</w:t>
      </w:r>
    </w:p>
    <w:p>
      <w:r>
        <w:t xml:space="preserve">verwendet werden.</w:t>
      </w:r>
    </w:p>
    <w:p>
      <w:r>
        <w:t xml:space="preserve">(2) Dem Abdruck der Wahlbekanntmachung ist neben dem</w:t>
      </w:r>
    </w:p>
    <w:p>
      <w:r>
        <w:t xml:space="preserve">Stimmzettel eine Abbildung der Seite des Stimmenzählgerätes, an der</w:t>
      </w:r>
    </w:p>
    <w:p>
      <w:r>
        <w:t xml:space="preserve">der Wähler seine Stimme(n) abgeben kann, nebst gerätespezifischer</w:t>
      </w:r>
    </w:p>
    <w:p>
      <w:r>
        <w:t xml:space="preserve">Darstellung der Wahlvorschläge beizufügen.</w:t>
      </w:r>
    </w:p>
    <w:p>
      <w:r>
        <w:rPr>
          <w:color w:val="555555"/>
          <w:sz w:val="17"/>
        </w:rPr>
        <w:t xml:space="preserve">Zitiervorschlag: § 6 KWahlGV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https://recht.nulegal.eu/gesetze/KWahlGV/6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