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KWahlGV (Brandenburg) — Anwendbarkeit der Brandenburgischen Kommunalwahlverordnung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die Wahl im Wahlbezirk mit amtlich zugelassenen</w:t>
      </w:r>
    </w:p>
    <w:p>
      <w:r>
        <w:t xml:space="preserve">Stimmenzählgeräten gelten auch die Vorschriften der Brandenburgischen</w:t>
      </w:r>
    </w:p>
    <w:p>
      <w:r>
        <w:t xml:space="preserve">Kommunalwahlverordnung in der jeweils geltenden Fassung, soweit im Folgenden</w:t>
      </w:r>
    </w:p>
    <w:p>
      <w:r>
        <w:t xml:space="preserve">nichts anderes bestimmt ist.</w:t>
      </w:r>
    </w:p>
    <w:p>
      <w:r>
        <w:rPr>
          <w:color w:val="555555"/>
          <w:sz w:val="17"/>
        </w:rPr>
        <w:t xml:space="preserve">Zitiervorschlag: § 5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