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KWahlGV (Brandenburg) — Genehmigung der Verwendung von Stimmenzählgeräten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Verwendung zugelassener Stimmenzählgeräte</w:t>
      </w:r>
    </w:p>
    <w:p>
      <w:r>
        <w:t xml:space="preserve">bedarf vor jeder Wahl der Genehmigung des Ministeriums des Innern. Die</w:t>
      </w:r>
    </w:p>
    <w:p>
      <w:r>
        <w:t xml:space="preserve">Genehmigung kann einzelnen Wahlbehörden oder allgemein erteilt werden. Sie</w:t>
      </w:r>
    </w:p>
    <w:p>
      <w:r>
        <w:t xml:space="preserve">gilt auch für Nachwahlen, Wiederholungswahlen, Stichwahlen und</w:t>
      </w:r>
    </w:p>
    <w:p>
      <w:r>
        <w:t xml:space="preserve">Nachholungswahlen. Sie kann unter Bedingungen erteilt und mit Auflagen</w:t>
      </w:r>
    </w:p>
    <w:p>
      <w:r>
        <w:t xml:space="preserve">verbunden werden.</w:t>
      </w:r>
    </w:p>
    <w:p>
      <w:r>
        <w:t xml:space="preserve">(2) In Wahlbezirken, in denen der betreffende Wahlvorstand</w:t>
      </w:r>
    </w:p>
    <w:p>
      <w:r>
        <w:t xml:space="preserve">zusätzlich das Ergebnis der Briefwahl ermittelt, dürfen keine</w:t>
      </w:r>
    </w:p>
    <w:p>
      <w:r>
        <w:t xml:space="preserve">Stimmenzählgeräte verwendet werden.</w:t>
      </w:r>
    </w:p>
    <w:p>
      <w:r>
        <w:t xml:space="preserve">(3) Wird die Genehmigung allgemein erteilt, ist sie im</w:t>
      </w:r>
    </w:p>
    <w:p>
      <w:r>
        <w:t xml:space="preserve">Amtsblatt für Brandenburg zu veröffentlichen.</w:t>
      </w:r>
    </w:p>
    <w:p>
      <w:r>
        <w:rPr>
          <w:color w:val="555555"/>
          <w:sz w:val="17"/>
        </w:rPr>
        <w:t xml:space="preserve">Zitiervorschlag: § 4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