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KWahlGV (Brandenburg) — Erteilung der Bauartzulassung</w:t>
      </w:r>
    </w:p>
    <w:p>
      <w:r>
        <w:rPr>
          <w:color w:val="555555"/>
          <w:sz w:val="18"/>
        </w:rPr>
        <w:t xml:space="preserve">Kommunalwahlgeräteverordnung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 die Bauartzulassung eines</w:t>
      </w:r>
    </w:p>
    <w:p>
      <w:r>
        <w:t xml:space="preserve">Stimmenzählgerätes wird festgestellt, dass Geräte der</w:t>
      </w:r>
    </w:p>
    <w:p>
      <w:r>
        <w:t xml:space="preserve">zugelassenen Bauart für die Verwendung bei den in Absatz 2 Satz 3 und 4</w:t>
      </w:r>
    </w:p>
    <w:p>
      <w:r>
        <w:t xml:space="preserve">bezeichneten Wahlen geeignet sind.</w:t>
      </w:r>
    </w:p>
    <w:p>
      <w:r>
        <w:t xml:space="preserve">(2) Das Ministerium des Innern erteilt die Bauartzulassung</w:t>
      </w:r>
    </w:p>
    <w:p>
      <w:r>
        <w:t xml:space="preserve">eines Stimmenzählgerätes auf Antrag des Herstellers. Dieser hat auf</w:t>
      </w:r>
    </w:p>
    <w:p>
      <w:r>
        <w:t xml:space="preserve">seine Kosten die notwendigen Nachweise über die Eignung im Sinne des</w:t>
      </w:r>
    </w:p>
    <w:p>
      <w:r>
        <w:t xml:space="preserve">Absatzes 1 zu erbringen. Die Bauartzulassung kann für einzelne kommunale</w:t>
      </w:r>
    </w:p>
    <w:p>
      <w:r>
        <w:t xml:space="preserve">Wahlen oder allgemein für Kommunalwahlen ausgesprochen werden. Sie kann</w:t>
      </w:r>
    </w:p>
    <w:p>
      <w:r>
        <w:t xml:space="preserve">auch auf kommunale Abstimmungen erstreckt werden. Aus der Bauartzulassung kann</w:t>
      </w:r>
    </w:p>
    <w:p>
      <w:r>
        <w:t xml:space="preserve">kein Anspruch auf Genehmigung der Verwendung solcher</w:t>
      </w:r>
    </w:p>
    <w:p>
      <w:r>
        <w:t xml:space="preserve">Stimmenzählgeräte bei einer Wahl oder Abstimmung hergeleitet werden.</w:t>
      </w:r>
    </w:p>
    <w:p>
      <w:r>
        <w:t xml:space="preserve">(3) Voraussetzung für die Bauartzulassung eines</w:t>
      </w:r>
    </w:p>
    <w:p>
      <w:r>
        <w:t xml:space="preserve">Stimmenzählgerätes für die Verwendung bei den in Absatz 2 Satz 3</w:t>
      </w:r>
    </w:p>
    <w:p>
      <w:r>
        <w:t xml:space="preserve">und 4 bezeichneten Wahlen und Abstimmungen (Kommunalwahlen) ist die</w:t>
      </w:r>
    </w:p>
    <w:p>
      <w:r>
        <w:t xml:space="preserve">Bauartzulassung für Wahlen zum Deutschen Bundestag oder der Abgeordneten</w:t>
      </w:r>
    </w:p>
    <w:p>
      <w:r>
        <w:t xml:space="preserve">des Europäischen Parlaments aus der Bundesrepublik Deutschland</w:t>
      </w:r>
    </w:p>
    <w:p>
      <w:r>
        <w:t xml:space="preserve">(Bundeswahlen). Soweit bei rechnergesteuerten Geräten für die</w:t>
      </w:r>
    </w:p>
    <w:p>
      <w:r>
        <w:t xml:space="preserve">Durchführung von Kommunalwahlen geänderte oder ergänzte Software</w:t>
      </w:r>
    </w:p>
    <w:p>
      <w:r>
        <w:t xml:space="preserve">erforderlich ist, müssen zumindest Konstruktion, Elektronik und</w:t>
      </w:r>
    </w:p>
    <w:p>
      <w:r>
        <w:t xml:space="preserve">Grundstruktur der Steuerungssoftware baugleich mit dem zu Bundeswahlen</w:t>
      </w:r>
    </w:p>
    <w:p>
      <w:r>
        <w:t xml:space="preserve">zugelassenen Stimmenzählgerät sein. Stimmenzählgeräte</w:t>
      </w:r>
    </w:p>
    <w:p>
      <w:r>
        <w:t xml:space="preserve">müssen zudem so eingerichtet sein, dass bei gleichzeitiger</w:t>
      </w:r>
    </w:p>
    <w:p>
      <w:r>
        <w:t xml:space="preserve">Durchführung mehrerer Wahlen entweder für jede Wahl ein Gerät zu</w:t>
      </w:r>
    </w:p>
    <w:p>
      <w:r>
        <w:t xml:space="preserve">verwenden ist oder für jede der verbundenen Wahlen die Wahlentscheidung</w:t>
      </w:r>
    </w:p>
    <w:p>
      <w:r>
        <w:t xml:space="preserve">nacheinander getroffen werden kann, wobei die getrennte Freigabe von Wahlen</w:t>
      </w:r>
    </w:p>
    <w:p>
      <w:r>
        <w:t xml:space="preserve">nach unterschiedlichen Wahlberechtigungen möglich sein muss.</w:t>
      </w:r>
    </w:p>
    <w:p>
      <w:r>
        <w:t xml:space="preserve">(4) Ist eine Bauartzulassung eines Stimmenzählgerätes</w:t>
      </w:r>
    </w:p>
    <w:p>
      <w:r>
        <w:t xml:space="preserve">erteilt worden, muss der Inhaber der Bauartzulassung (Hersteller) jedem in den</w:t>
      </w:r>
    </w:p>
    <w:p>
      <w:r>
        <w:t xml:space="preserve">Verkehr gebrachten Stimmenzählgerät eine Erklärung über die</w:t>
      </w:r>
    </w:p>
    <w:p>
      <w:r>
        <w:t xml:space="preserve">Baugleichheit mit dem in der Bauartzulassung nach Absatz 2 identifizierten</w:t>
      </w:r>
    </w:p>
    <w:p>
      <w:r>
        <w:t xml:space="preserve">Baumuster (Baugleichheitserklärung) beifügen.</w:t>
      </w:r>
    </w:p>
    <w:p>
      <w:r>
        <w:t xml:space="preserve">(5) Das Ministerium des Innern macht die Bauartzulassung im</w:t>
      </w:r>
    </w:p>
    <w:p>
      <w:r>
        <w:t xml:space="preserve">Amtsblatt für Brandenburg bekannt.</w:t>
      </w:r>
    </w:p>
    <w:p>
      <w:r>
        <w:rPr>
          <w:color w:val="555555"/>
          <w:sz w:val="17"/>
        </w:rPr>
        <w:t xml:space="preserve">Zitiervorschlag: § 2 KWahlGV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https://recht.nulegal.eu/gesetze/KWahlGV/2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