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KWahlGV (Brandenburg) — In-Kraft-Treten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10. April 2001</w:t>
      </w:r>
    </w:p>
    <w:p>
      <w:r>
        <w:t xml:space="preserve">Der Minister des Innern</w:t>
      </w:r>
    </w:p>
    <w:p>
      <w:r>
        <w:t xml:space="preserve">Jörg Schönbohm</w:t>
      </w:r>
    </w:p>
    <w:p>
      <w:r>
        <w:t xml:space="preserve">Anmerkung: Die Anlagen sind noch in Bearbeitung</w:t>
      </w:r>
    </w:p>
    <w:p>
      <w:r>
        <w:rPr>
          <w:color w:val="555555"/>
          <w:sz w:val="17"/>
        </w:rPr>
        <w:t xml:space="preserve">Zitiervorschlag: § 19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