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KWahlGV (Brandenburg) — Besondere Vorschriften</w:t>
      </w:r>
    </w:p>
    <w:p>
      <w:r>
        <w:rPr>
          <w:color w:val="555555"/>
          <w:sz w:val="18"/>
        </w:rPr>
        <w:t xml:space="preserve">Kommunalwahlgeräteverordnung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Ergeben sich Bedenken gegen die</w:t>
      </w:r>
    </w:p>
    <w:p>
      <w:r>
        <w:t xml:space="preserve">Ordnungsmäßigkeit des Wahlgeschäftes, der</w:t>
      </w:r>
    </w:p>
    <w:p>
      <w:r>
        <w:t xml:space="preserve">Wahlergebnisermittlung oder der Wahlniederschrift, hat der Wahlleiter selbst</w:t>
      </w:r>
    </w:p>
    <w:p>
      <w:r>
        <w:t xml:space="preserve">oder durch einen Beauftragten vor der Feststellung des Wahlergebnisses durch</w:t>
      </w:r>
    </w:p>
    <w:p>
      <w:r>
        <w:t xml:space="preserve">den Wahlausschuss die Übereinstimmung der angezeigten oder ausdruckbaren</w:t>
      </w:r>
    </w:p>
    <w:p>
      <w:r>
        <w:t xml:space="preserve">Zählergebnisse mit den Eintragungen in der Wahlniederschrift in Gegenwart</w:t>
      </w:r>
    </w:p>
    <w:p>
      <w:r>
        <w:t xml:space="preserve">von mindestens zwei Zeugen zu überprüfen und dies in der</w:t>
      </w:r>
    </w:p>
    <w:p>
      <w:r>
        <w:t xml:space="preserve">Wahlniederschrift zu bescheinigen. Danach sind die Geräte oder die</w:t>
      </w:r>
    </w:p>
    <w:p>
      <w:r>
        <w:t xml:space="preserve">Stimmenspeicher wieder zu versiegeln; § 16 Abs. 3 Satz 2 gilt</w:t>
      </w:r>
    </w:p>
    <w:p>
      <w:r>
        <w:t xml:space="preserve">entsprechend.</w:t>
      </w:r>
    </w:p>
    <w:p>
      <w:r>
        <w:t xml:space="preserve">(2) Die vom Wahlausschuss nach § 47 Satz 2 Nr. 4, §</w:t>
      </w:r>
    </w:p>
    <w:p>
      <w:r>
        <w:t xml:space="preserve">48 Abs. 1 Satz 2 Nr. 4 und § 49 Abs. 1 Satz 2 Nr. 4 des Brandenburgischen</w:t>
      </w:r>
    </w:p>
    <w:p>
      <w:r>
        <w:t xml:space="preserve">Kommunalwahlgesetzes festzustellende Zahl der ungültigen Stimmzettel muss</w:t>
      </w:r>
    </w:p>
    <w:p>
      <w:r>
        <w:t xml:space="preserve">die in den Wahlbezirken mit Stimmenzählgeräten festgestellten</w:t>
      </w:r>
    </w:p>
    <w:p>
      <w:r>
        <w:t xml:space="preserve">Stimmabgaben ohne gültige Stimme (§ 14 Abs. 3 Nr. 1 Buchstabe a)</w:t>
      </w:r>
    </w:p>
    <w:p>
      <w:r>
        <w:t xml:space="preserve">enthalten.</w:t>
      </w:r>
    </w:p>
    <w:p>
      <w:r>
        <w:t xml:space="preserve">(3) Nach Feststellung des Wahlergebnisses kann der</w:t>
      </w:r>
    </w:p>
    <w:p>
      <w:r>
        <w:t xml:space="preserve">Landeswahlleiter zulassen, dass die Sperrung und Versiegelung der</w:t>
      </w:r>
    </w:p>
    <w:p>
      <w:r>
        <w:t xml:space="preserve">Stimmenzählgeräte oder der Stimmenspeicher aufgehoben werden, wenn</w:t>
      </w:r>
    </w:p>
    <w:p>
      <w:r>
        <w:t xml:space="preserve">die Zählergebnisse der Stimmenzählgeräte nicht für ein</w:t>
      </w:r>
    </w:p>
    <w:p>
      <w:r>
        <w:t xml:space="preserve">schwebendes Wahlprüfungsverfahren von Bedeutung sein können.</w:t>
      </w:r>
    </w:p>
    <w:p>
      <w:r>
        <w:rPr>
          <w:color w:val="555555"/>
          <w:sz w:val="17"/>
        </w:rPr>
        <w:t xml:space="preserve">Zitiervorschlag: § 18 KWahlGV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https://recht.nulegal.eu/gesetze/KWahlGV/18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