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KWahlGV (Brandenburg) — Wahlniederschrift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Über die Wahlhandlung sowie die Ermittlung und die</w:t>
      </w:r>
    </w:p>
    <w:p>
      <w:r>
        <w:t xml:space="preserve">Feststellung des Wahlergebnisses ist vom Schriftführer eine</w:t>
      </w:r>
    </w:p>
    <w:p>
      <w:r>
        <w:t xml:space="preserve">Wahlniederschrift nach dem Muster der Anlage 1 oder 2, die beide Bestandteil</w:t>
      </w:r>
    </w:p>
    <w:p>
      <w:r>
        <w:t xml:space="preserve">dieser Verordnung sind, zu erstellen. Die Wahlniederschrift ist von den</w:t>
      </w:r>
    </w:p>
    <w:p>
      <w:r>
        <w:t xml:space="preserve">anwesenden Mitgliedern des Wahlvorstandes zu unterzeichnen. Verweigert ein</w:t>
      </w:r>
    </w:p>
    <w:p>
      <w:r>
        <w:t xml:space="preserve">Mitglied des Wahlvorstandes die Unterschrift, so ist der Grund hierfür in</w:t>
      </w:r>
    </w:p>
    <w:p>
      <w:r>
        <w:t xml:space="preserve">der Wahlniederschrift zu vermerken. Beschlüsse über Bedenken, die bei</w:t>
      </w:r>
    </w:p>
    <w:p>
      <w:r>
        <w:t xml:space="preserve">der Wahlhandlung und bei der Ermittlung des Wahlergebnisses erhoben worden</w:t>
      </w:r>
    </w:p>
    <w:p>
      <w:r>
        <w:t xml:space="preserve">sind, sind in der Wahlniederschrift zu vermerken. Der Wahlniederschrift sind</w:t>
      </w:r>
    </w:p>
    <w:p>
      <w:r>
        <w:t xml:space="preserve">beizufügen:</w:t>
      </w:r>
    </w:p>
    <w:p>
      <w:r>
        <w:t xml:space="preserve">Wahlscheine, über die der Wahlvorstand beschlossen hat, und</w:t>
      </w:r>
    </w:p>
    <w:p>
      <w:r>
        <w:t xml:space="preserve">Zählkontrollvermerke oder die von einem Stimmenzählgerät</w:t>
      </w:r>
    </w:p>
    <w:p>
      <w:r>
        <w:t xml:space="preserve">ausgedruckten Ergebnisse.</w:t>
      </w:r>
    </w:p>
    <w:p>
      <w:r>
        <w:t xml:space="preserve">(2) Wird die Wahl mit Stimmzetteln fortgesetzt (§ 11 Abs.</w:t>
      </w:r>
    </w:p>
    <w:p>
      <w:r>
        <w:t xml:space="preserve">3), so ist hierüber eine besondere Wahlniederschrift nach dem Muster der</w:t>
      </w:r>
    </w:p>
    <w:p>
      <w:r>
        <w:t xml:space="preserve">Anlage 15a oder 15b zur Brandenburgischen Kommunalwahlverordnung aufzunehmen.</w:t>
      </w:r>
    </w:p>
    <w:p>
      <w:r>
        <w:t xml:space="preserve">Die Wahlniederschrift nach Absatz 1 ist nach Schluss der Wahlhandlung</w:t>
      </w:r>
    </w:p>
    <w:p>
      <w:r>
        <w:t xml:space="preserve">abzuschließen. Ihr Ergebnis ist in die Wahlniederschrift nach Satz 1 zu</w:t>
      </w:r>
    </w:p>
    <w:p>
      <w:r>
        <w:t xml:space="preserve">übernehmen. Bei der Wahl zur Vertretung ist die in der Wahlniederschrift</w:t>
      </w:r>
    </w:p>
    <w:p>
      <w:r>
        <w:t xml:space="preserve">nach Absatz 1 aufgeführte Zahl der Stimmabgaben ohne gültige Stimme</w:t>
      </w:r>
    </w:p>
    <w:p>
      <w:r>
        <w:t xml:space="preserve">(§ 14 Abs. 3 Satz 1 Nr. 1 Buchstabe a) der Zahl der abgegebenen</w:t>
      </w:r>
    </w:p>
    <w:p>
      <w:r>
        <w:t xml:space="preserve">ungültigen Stimmzettel hinzuzurechnen.</w:t>
      </w:r>
    </w:p>
    <w:p>
      <w:r>
        <w:t xml:space="preserve">(3) Nach Ermittlung des Wahlergebnisses ist jedes</w:t>
      </w:r>
    </w:p>
    <w:p>
      <w:r>
        <w:t xml:space="preserve">Stimmenzählgerät zu schließen und zu versiegeln. Bei</w:t>
      </w:r>
    </w:p>
    <w:p>
      <w:r>
        <w:t xml:space="preserve">Geräten oder bei herausnehmbaren Stimmenspeichern, bei denen eine</w:t>
      </w:r>
    </w:p>
    <w:p>
      <w:r>
        <w:t xml:space="preserve">Entsperrung in geschlossenem Zustand nicht möglich ist, genügt die</w:t>
      </w:r>
    </w:p>
    <w:p>
      <w:r>
        <w:t xml:space="preserve">Versiegelung und Kennzeichnung des Behältnisses, in dem sich die</w:t>
      </w:r>
    </w:p>
    <w:p>
      <w:r>
        <w:t xml:space="preserve">Schlüssel oder Stimmenspeicher befinden.</w:t>
      </w:r>
    </w:p>
    <w:p>
      <w:r>
        <w:rPr>
          <w:color w:val="555555"/>
          <w:sz w:val="17"/>
        </w:rPr>
        <w:t xml:space="preserve">Zitiervorschlag: § 16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