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KWahlGV (Brandenburg) — Ungültige Stimmen</w:t>
      </w:r>
    </w:p>
    <w:p>
      <w:r>
        <w:rPr>
          <w:color w:val="555555"/>
          <w:sz w:val="18"/>
        </w:rPr>
        <w:t xml:space="preserve">Kommunalwahlgeräteverordnung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Ungültig sind nur solche Stimmen, die an der hierfür</w:t>
      </w:r>
    </w:p>
    <w:p>
      <w:r>
        <w:t xml:space="preserve">bezeichneten Stelle des Stimmenzählgerätes abgegeben worden sind.</w:t>
      </w:r>
    </w:p>
    <w:p>
      <w:r>
        <w:rPr>
          <w:color w:val="555555"/>
          <w:sz w:val="17"/>
        </w:rPr>
        <w:t xml:space="preserve">Zitiervorschlag: § 15 KWahlGV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https://recht.nulegal.eu/gesetze/KWahlGV/15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KWahlGV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