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KWahlGV (Brandenburg) — Zählung der Stimmen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Schriftführer trägt die an dem</w:t>
      </w:r>
    </w:p>
    <w:p>
      <w:r>
        <w:t xml:space="preserve">Stimmenzählgerät angezeigten oder von ihm ausgedruckten Zahlen der</w:t>
      </w:r>
    </w:p>
    <w:p>
      <w:r>
        <w:t xml:space="preserve">Reihenfolge nach in die Zählkontrollvermerke der Wahlniederschrift ein,</w:t>
      </w:r>
    </w:p>
    <w:p>
      <w:r>
        <w:t xml:space="preserve">soweit nicht ein Ausdruck selbst als Zählkontrollvermerk zu verwenden ist.</w:t>
      </w:r>
    </w:p>
    <w:p>
      <w:r>
        <w:t xml:space="preserve">(2) Die Zählung erfolgt nach den Maßgaben der Nummer</w:t>
      </w:r>
    </w:p>
    <w:p>
      <w:r>
        <w:t xml:space="preserve">3 der Anlage 1 oder 2.</w:t>
      </w:r>
    </w:p>
    <w:p>
      <w:r>
        <w:t xml:space="preserve">(3) Der Wahlvorsteher oder das von ihm bestimmte Mitglied des</w:t>
      </w:r>
    </w:p>
    <w:p>
      <w:r>
        <w:t xml:space="preserve">Wahlvorstandes stellt sodann durch lautes Ablesen der einzelnen Anzeigen fest</w:t>
      </w:r>
    </w:p>
    <w:p>
      <w:r>
        <w:t xml:space="preserve">bei der Wahl zur Vertretung:</w:t>
      </w:r>
    </w:p>
    <w:p>
      <w:r>
        <w:t xml:space="preserve">die Zahl der Stimmabgaben ohne gültige Stimme,</w:t>
      </w:r>
    </w:p>
    <w:p>
      <w:r>
        <w:t xml:space="preserve">die Zahl der insgesamt abgegebenen gültigen Stimmen,</w:t>
      </w:r>
    </w:p>
    <w:p>
      <w:r>
        <w:t xml:space="preserve">die Zahl der für jeden Bewerber abgegebenen gültigen Stimmen und</w:t>
      </w:r>
    </w:p>
    <w:p>
      <w:r>
        <w:t xml:space="preserve">die Zahl der für jeden Wahlvorschlag abgegebenen gültigen</w:t>
      </w:r>
    </w:p>
    <w:p>
      <w:r>
        <w:t xml:space="preserve">Stimmen.</w:t>
      </w:r>
    </w:p>
    <w:p>
      <w:r>
        <w:t xml:space="preserve">bei der Wahl des Bürgermeisters oder Oberbürgermeisters:</w:t>
      </w:r>
    </w:p>
    <w:p>
      <w:r>
        <w:t xml:space="preserve">die Zahl der insgesamt abgegebenen ungültigen Stimmen,</w:t>
      </w:r>
    </w:p>
    <w:p>
      <w:r>
        <w:t xml:space="preserve">die Zahl der insgesamt abgegebenen gültigen Stimmen und</w:t>
      </w:r>
    </w:p>
    <w:p>
      <w:r>
        <w:t xml:space="preserve">die Zahl der für jeden Bewerber abgegebenen gültigen Stimmen, im</w:t>
      </w:r>
    </w:p>
    <w:p>
      <w:r>
        <w:t xml:space="preserve">Fall des § 72 Abs. 3 Satz 1 des Brandenburgischen Kommunalwahlgesetzes die</w:t>
      </w:r>
    </w:p>
    <w:p>
      <w:r>
        <w:t xml:space="preserve">Zahl der abgegebenen gültigen „Ja”-Stimmen und die Zahl der</w:t>
      </w:r>
    </w:p>
    <w:p>
      <w:r>
        <w:t xml:space="preserve">abgegebenen gültigen „Nein”-Stimmen.</w:t>
      </w:r>
    </w:p>
    <w:p>
      <w:r>
        <w:t xml:space="preserve">Die übrigen Mitglieder des Wahlvorstandes überzeugen</w:t>
      </w:r>
    </w:p>
    <w:p>
      <w:r>
        <w:t xml:space="preserve">sich von der Richtigkeit dieser Feststellungen und ihrer Übertragung in</w:t>
      </w:r>
    </w:p>
    <w:p>
      <w:r>
        <w:t xml:space="preserve">die Wahlniederschrift.</w:t>
      </w:r>
    </w:p>
    <w:p>
      <w:r>
        <w:t xml:space="preserve">(4) Stimmt die Summe der angezeigten einzelnen</w:t>
      </w:r>
    </w:p>
    <w:p>
      <w:r>
        <w:t xml:space="preserve">Zählergebnisse (Absatz 3 Satz 1 Nr. 1 Buchstabe c oder d oder Absatz 3</w:t>
      </w:r>
    </w:p>
    <w:p>
      <w:r>
        <w:t xml:space="preserve">Satz 1 Nr. 2 Buchstabe c) nicht mit der angezeigten Zahl der insgesamt</w:t>
      </w:r>
    </w:p>
    <w:p>
      <w:r>
        <w:t xml:space="preserve">abgegebenen gültigen Stimmen (Absatz 3 Satz 1 Nr. 1 Buchstabe b oder</w:t>
      </w:r>
    </w:p>
    <w:p>
      <w:r>
        <w:t xml:space="preserve">Absatz 3 Satz 1 Nr. 2 Buchstabe b) überein, so hat der Wahlvorstand die</w:t>
      </w:r>
    </w:p>
    <w:p>
      <w:r>
        <w:t xml:space="preserve">Verschiedenheit unter Zuhilfenahme der Kontrollvorrichtung des</w:t>
      </w:r>
    </w:p>
    <w:p>
      <w:r>
        <w:t xml:space="preserve">Stimmenzählgerätes und der Bedienungsanleitung darzustellen und in</w:t>
      </w:r>
    </w:p>
    <w:p>
      <w:r>
        <w:t xml:space="preserve">der Wahlniederschrift zu vermerken.</w:t>
      </w:r>
    </w:p>
    <w:p>
      <w:r>
        <w:t xml:space="preserve">(5) § 13 Satz 5 gilt entsprechend.</w:t>
      </w:r>
    </w:p>
    <w:p>
      <w:r>
        <w:rPr>
          <w:color w:val="555555"/>
          <w:sz w:val="17"/>
        </w:rPr>
        <w:t xml:space="preserve">Zitiervorschlag: § 14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