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KWahlGV (Brandenburg) — Stimmabgabe und Vermerk über Stimmabgabe</w:t>
      </w:r>
    </w:p>
    <w:p>
      <w:r>
        <w:rPr>
          <w:color w:val="555555"/>
          <w:sz w:val="18"/>
        </w:rPr>
        <w:t xml:space="preserve">Kommunalwahlgeräteverordnung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Sobald die Wahlberechtigung nach § 52 der</w:t>
      </w:r>
    </w:p>
    <w:p>
      <w:r>
        <w:t xml:space="preserve">Brandenburgischen Kommunalwahlverordnung festgestellt ist, gibt der</w:t>
      </w:r>
    </w:p>
    <w:p>
      <w:r>
        <w:t xml:space="preserve">Wahlvorsteher oder das von ihm bestimmte Mitglied des Wahlvorstandes das</w:t>
      </w:r>
    </w:p>
    <w:p>
      <w:r>
        <w:t xml:space="preserve">Stimmenzählgerät entsprechend der Wahlberechtigung zur Stimmabgabe</w:t>
      </w:r>
    </w:p>
    <w:p>
      <w:r>
        <w:t xml:space="preserve">frei, wenn sich kein anderer Wähler mehr in der Wahlkabine aufhält.</w:t>
      </w:r>
    </w:p>
    <w:p>
      <w:r>
        <w:t xml:space="preserve">Nach der Freigabe begibt sich der Wähler in die Wahlkabine und gibt seine</w:t>
      </w:r>
    </w:p>
    <w:p>
      <w:r>
        <w:t xml:space="preserve">Stimme(n) ab. Gleichzeitig vermerkt der Schriftführer im</w:t>
      </w:r>
    </w:p>
    <w:p>
      <w:r>
        <w:t xml:space="preserve">Wählerverzeichnis die Stimmabgabe in der dafür bestimmten Spalte.</w:t>
      </w:r>
    </w:p>
    <w:p>
      <w:r>
        <w:t xml:space="preserve">Für dieselbe Wahl muss immer dieselbe Spalte benutzt werden. Der</w:t>
      </w:r>
    </w:p>
    <w:p>
      <w:r>
        <w:t xml:space="preserve">Wahlvorstand achtet darauf, dass sich immer nur ein Wähler und dieser nur</w:t>
      </w:r>
    </w:p>
    <w:p>
      <w:r>
        <w:t xml:space="preserve">so lange wie notwendig in der Wahlkabine aufhält.</w:t>
      </w:r>
    </w:p>
    <w:p>
      <w:r>
        <w:t xml:space="preserve">(2) Der Wahlvorsteher oder das von ihm bestimmte Mitglied des</w:t>
      </w:r>
    </w:p>
    <w:p>
      <w:r>
        <w:t xml:space="preserve">Wahlvorstandes vergewissert sich anhand der Kontrollvorrichtungen, ob der</w:t>
      </w:r>
    </w:p>
    <w:p>
      <w:r>
        <w:t xml:space="preserve">Wähler seine Stimmabgabe beendet hat und die Vorrichtung zur Stimmabgabe</w:t>
      </w:r>
    </w:p>
    <w:p>
      <w:r>
        <w:t xml:space="preserve">wieder gesperrt ist. Die Stimmabgabe ist beendet, wenn der Wähler die</w:t>
      </w:r>
    </w:p>
    <w:p>
      <w:r>
        <w:t xml:space="preserve">hierzu erforderlichen Bedienungshandlungen vollzogen und die Wahlkabine</w:t>
      </w:r>
    </w:p>
    <w:p>
      <w:r>
        <w:t xml:space="preserve">verlassen hat. Unterbleibt die Beendigung der Stimmabgabe, so ist der</w:t>
      </w:r>
    </w:p>
    <w:p>
      <w:r>
        <w:t xml:space="preserve">Stimmabgabevermerk im Wählerverzeichnis zu streichen und der Vermerk</w:t>
      </w:r>
    </w:p>
    <w:p>
      <w:r>
        <w:t xml:space="preserve">„Nichtwähler” oder „N” einzutragen; die Vorrichtung</w:t>
      </w:r>
    </w:p>
    <w:p>
      <w:r>
        <w:t xml:space="preserve">zur Stimmabgabe ist wieder zu sperren. Im Falle verbundener Wahlen oder</w:t>
      </w:r>
    </w:p>
    <w:p>
      <w:r>
        <w:t xml:space="preserve">Abstimmungen sind nur die Stimmabgabevermerke im Wählerverzeichnis</w:t>
      </w:r>
    </w:p>
    <w:p>
      <w:r>
        <w:t xml:space="preserve">durch den Vermerk „Nichtwähler” oder „N” zu ersetzen,</w:t>
      </w:r>
    </w:p>
    <w:p>
      <w:r>
        <w:t xml:space="preserve">die sich auf eine Wahl oder Abstimmung beziehen, bei der die Stimmabgabe</w:t>
      </w:r>
    </w:p>
    <w:p>
      <w:r>
        <w:t xml:space="preserve">unterblieben ist.</w:t>
      </w:r>
    </w:p>
    <w:p>
      <w:r>
        <w:t xml:space="preserve">(3) Werden an einem Stimmenzählgerät während der</w:t>
      </w:r>
    </w:p>
    <w:p>
      <w:r>
        <w:t xml:space="preserve">Wahl Funktionsstörungen angezeigt, die ohne Gefahr eines vorzeitigen</w:t>
      </w:r>
    </w:p>
    <w:p>
      <w:r>
        <w:t xml:space="preserve">Bekanntwerdens oder Löschens der bereits abgegebenen Stimmen behoben</w:t>
      </w:r>
    </w:p>
    <w:p>
      <w:r>
        <w:t xml:space="preserve">werden können, so kann der Wahlvorstand solche Störungen</w:t>
      </w:r>
    </w:p>
    <w:p>
      <w:r>
        <w:t xml:space="preserve">gemäß Bedienungsanleitung beheben. Treten an einem</w:t>
      </w:r>
    </w:p>
    <w:p>
      <w:r>
        <w:t xml:space="preserve">Stimmenzählgerät während der Wahl Störungen auf, die</w:t>
      </w:r>
    </w:p>
    <w:p>
      <w:r>
        <w:t xml:space="preserve">gemäß Bedienungsanleitung nicht auf einfache Weise und nicht ohne</w:t>
      </w:r>
    </w:p>
    <w:p>
      <w:r>
        <w:t xml:space="preserve">Gefahr für das Bekanntwerden oder Löschen der bereits abgegebenen</w:t>
      </w:r>
    </w:p>
    <w:p>
      <w:r>
        <w:t xml:space="preserve">Stimmen behoben werden können, so kann der Wahlvorstand die Fortsetzung</w:t>
      </w:r>
    </w:p>
    <w:p>
      <w:r>
        <w:t xml:space="preserve">der Wahl mit einem anderen Stimmenzählgerät beschließen, wenn</w:t>
      </w:r>
    </w:p>
    <w:p>
      <w:r>
        <w:t xml:space="preserve">dies ohne nennenswerte Verzögerung und ohne Gefährdung des</w:t>
      </w:r>
    </w:p>
    <w:p>
      <w:r>
        <w:t xml:space="preserve">Wahlgeheimnisses möglich ist; § 8 Abs. 2 und § 10 finden</w:t>
      </w:r>
    </w:p>
    <w:p>
      <w:r>
        <w:t xml:space="preserve">Anwendung. Andernfalls ist die Wahl mit Stimmzetteln nach den allgemeinen</w:t>
      </w:r>
    </w:p>
    <w:p>
      <w:r>
        <w:t xml:space="preserve">Vorschriften fortzusetzen. In diesem Fall ist das Stimmenzählgerät</w:t>
      </w:r>
    </w:p>
    <w:p>
      <w:r>
        <w:t xml:space="preserve">gegen jede weitere Stimmabgabe zu sperren und die Sperrung, sofern diese</w:t>
      </w:r>
    </w:p>
    <w:p>
      <w:r>
        <w:t xml:space="preserve">rückgängig gemacht werden kann, zu versiegeln. Jede Störung an</w:t>
      </w:r>
    </w:p>
    <w:p>
      <w:r>
        <w:t xml:space="preserve">einem Stimmenzählgerät oder die Fortsetzung der Wahl mit einem</w:t>
      </w:r>
    </w:p>
    <w:p>
      <w:r>
        <w:t xml:space="preserve">anderen Stimmenzählgerät oder Stimmzetteln ist in der</w:t>
      </w:r>
    </w:p>
    <w:p>
      <w:r>
        <w:t xml:space="preserve">Wahlniederschrift zu vermerken. Haben nicht jeweils mindestens 50 Wähler</w:t>
      </w:r>
    </w:p>
    <w:p>
      <w:r>
        <w:t xml:space="preserve">die Stimmen mit demselben Stimmenzählgerät oder mit Stimmzetteln</w:t>
      </w:r>
    </w:p>
    <w:p>
      <w:r>
        <w:t xml:space="preserve">abgegeben, so hat die Ermittlung und Feststellung des Wahlergebnisses durch</w:t>
      </w:r>
    </w:p>
    <w:p>
      <w:r>
        <w:t xml:space="preserve">einen anderen vom Wahlleiter der Gemeinde sofort zu bestimmenden Wahlvorstand</w:t>
      </w:r>
    </w:p>
    <w:p>
      <w:r>
        <w:t xml:space="preserve">zu erfolgen.</w:t>
      </w:r>
    </w:p>
    <w:p>
      <w:r>
        <w:rPr>
          <w:color w:val="555555"/>
          <w:sz w:val="17"/>
        </w:rPr>
        <w:t xml:space="preserve">Zitiervorschlag: § 11 KWahlGV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https://recht.nulegal.eu/gesetze/KWahlGV/11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KWahlGV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