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KWahlGV (Brandenburg) — Eröffnung der Wahlhandlung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Wahlvorstand stellt vor Beginn der Stimmabgabe fest,</w:t>
      </w:r>
    </w:p>
    <w:p>
      <w:r>
        <w:t xml:space="preserve">dass</w:t>
      </w:r>
    </w:p>
    <w:p>
      <w:r>
        <w:t xml:space="preserve">die gerätespezifische Darstellung der Wahlvorschläge inhaltlich</w:t>
      </w:r>
    </w:p>
    <w:p>
      <w:r>
        <w:t xml:space="preserve">mit dem amtlichen Stimmzettel übereinstimmt,</w:t>
      </w:r>
    </w:p>
    <w:p>
      <w:r>
        <w:t xml:space="preserve">eine Abbildung der Seite des Stimmenzählgerätes, an der der</w:t>
      </w:r>
    </w:p>
    <w:p>
      <w:r>
        <w:t xml:space="preserve">Wähler seine Stimme(n) abgeben kann, nebst gerätespezifischer</w:t>
      </w:r>
    </w:p>
    <w:p>
      <w:r>
        <w:t xml:space="preserve">Darstellung der Wahlvorschläge und einer Anleitung zur Stimmabgabe mit dem</w:t>
      </w:r>
    </w:p>
    <w:p>
      <w:r>
        <w:t xml:space="preserve">Stimmenzählgerät am oder im Gebäude, in dem sich das Wahllokal</w:t>
      </w:r>
    </w:p>
    <w:p>
      <w:r>
        <w:t xml:space="preserve">befindet, ausgehängt sind,</w:t>
      </w:r>
    </w:p>
    <w:p>
      <w:r>
        <w:t xml:space="preserve">sämtliche Zähl- und Speichervorrichtungen für die</w:t>
      </w:r>
    </w:p>
    <w:p>
      <w:r>
        <w:t xml:space="preserve">Stimmabgabe auf Null stehen oder gelöscht sind,</w:t>
      </w:r>
    </w:p>
    <w:p>
      <w:r>
        <w:t xml:space="preserve">nicht benötigte Zähl- und Speichervorrichtungen für die</w:t>
      </w:r>
    </w:p>
    <w:p>
      <w:r>
        <w:t xml:space="preserve">Stimmabgabe gesperrt sind und</w:t>
      </w:r>
    </w:p>
    <w:p>
      <w:r>
        <w:t xml:space="preserve">die zur Aufnahme von Wahlmarken bestimmten Behälter leer sind, soweit</w:t>
      </w:r>
    </w:p>
    <w:p>
      <w:r>
        <w:t xml:space="preserve">bei der Benutzung des Gerätes Wahlmarken verwendet werden.</w:t>
      </w:r>
    </w:p>
    <w:p>
      <w:r>
        <w:t xml:space="preserve">(2) Der Wahlvorsteher verschließt das</w:t>
      </w:r>
    </w:p>
    <w:p>
      <w:r>
        <w:t xml:space="preserve">Stimmenzählgerät oder dessen Zähl- und Speichervorrichtungen,</w:t>
      </w:r>
    </w:p>
    <w:p>
      <w:r>
        <w:t xml:space="preserve">sofern das Stimmenzählgerät dem Wahlvorsteher nicht bereits in</w:t>
      </w:r>
    </w:p>
    <w:p>
      <w:r>
        <w:t xml:space="preserve">versiegeltem Zustand übergeben worden ist. Ein Verwenden der</w:t>
      </w:r>
    </w:p>
    <w:p>
      <w:r>
        <w:t xml:space="preserve">Schlüssel ist bis zum Schluss der Wahlhandlung nicht gestattet,</w:t>
      </w:r>
    </w:p>
    <w:p>
      <w:r>
        <w:t xml:space="preserve">außer wenn das Stimmenzählgerät zum Zwecke der Fortsetzung der</w:t>
      </w:r>
    </w:p>
    <w:p>
      <w:r>
        <w:t xml:space="preserve">Wahl ohne Gefahr des Bekanntwerdens oder Löschens der bereits abgegebenen</w:t>
      </w:r>
    </w:p>
    <w:p>
      <w:r>
        <w:t xml:space="preserve">Stimmen gemäß Bedienungsanleitung in einen Grundzustand gebracht</w:t>
      </w:r>
    </w:p>
    <w:p>
      <w:r>
        <w:t xml:space="preserve">werden muss. Dies gilt auch für die zur Aufnahme von Wahlmarken bestimmten</w:t>
      </w:r>
    </w:p>
    <w:p>
      <w:r>
        <w:t xml:space="preserve">Behälter. Die Schlüssel für das Stimmenzählgerät oder</w:t>
      </w:r>
    </w:p>
    <w:p>
      <w:r>
        <w:t xml:space="preserve">dessen Zähl- und Speichervorrichtungen sind bis zur Beendigung der</w:t>
      </w:r>
    </w:p>
    <w:p>
      <w:r>
        <w:t xml:space="preserve">Wahlhandlung getrennt von dem Wahlvorsteher und einem anderen Mitglied des</w:t>
      </w:r>
    </w:p>
    <w:p>
      <w:r>
        <w:t xml:space="preserve">Wahlvorstandes aufzubewahren.</w:t>
      </w:r>
    </w:p>
    <w:p>
      <w:r>
        <w:rPr>
          <w:color w:val="555555"/>
          <w:sz w:val="17"/>
        </w:rPr>
        <w:t xml:space="preserve">Zitiervorschlag: § 10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