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KWahlGV (Brandenburg) — Zulassungs- und Genehmigungspflicht</w:t>
      </w:r>
    </w:p>
    <w:p>
      <w:r>
        <w:rPr>
          <w:color w:val="555555"/>
          <w:sz w:val="18"/>
        </w:rPr>
        <w:t xml:space="preserve">Kommunalwahlgeräteverordnung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Mechanisch oder elektrisch betriebene einschließlich</w:t>
      </w:r>
    </w:p>
    <w:p>
      <w:r>
        <w:t xml:space="preserve">rechnergesteuerte Geräte, die bei Wahlen der Abgabe und Zählung der</w:t>
      </w:r>
    </w:p>
    <w:p>
      <w:r>
        <w:t xml:space="preserve">Wählerstimmen dienen (Stimmenzählgeräte), dürfen bei</w:t>
      </w:r>
    </w:p>
    <w:p>
      <w:r>
        <w:t xml:space="preserve">Kommunalwahlen nur eingesetzt werden, wenn ihre Bauart nach § 2 zugelassen</w:t>
      </w:r>
    </w:p>
    <w:p>
      <w:r>
        <w:t xml:space="preserve">und ihre Verwendung nach § 4 genehmigt ist.</w:t>
      </w:r>
    </w:p>
    <w:p>
      <w:r>
        <w:rPr>
          <w:color w:val="555555"/>
          <w:sz w:val="17"/>
        </w:rPr>
        <w:t xml:space="preserve">Zitiervorschlag: § 1 KWahlGV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https://recht.nulegal.eu/gesetze/KWahlGV/1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