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KWMV</w:t>
      </w:r>
    </w:p>
    <w:p>
      <w:r>
        <w:rPr>
          <w:color w:val="555555"/>
          <w:sz w:val="18"/>
        </w:rPr>
        <w:t xml:space="preserve">Kriegswaffenmeldeverordnung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12a Abs. 1 Satz 1 des Gesetzes über die Kontrolle von Kriegswaffen in der Fassung der Bekanntmachung vom 22. November 1990 (BGBl. I S. 2506), der durch Artikel 2 des Gesetzes vom 9. August 1994 (BGBl. I S. 2068) eingefügt worden ist, verordnet die Bundesregierung, und auf Grund des § 36 Abs. 3 des Gesetzes über Ordnungswidrigkeiten in der Fassung der Bekanntmachung vom 19. Februar 1987 (BGBl. I S. 602) verordnet das Bundesministerium für Wirtschaft:</w:t>
      </w:r>
    </w:p>
    <w:p>
      <w:r>
        <w:rPr>
          <w:color w:val="555555"/>
          <w:sz w:val="17"/>
        </w:rPr>
        <w:t xml:space="preserve">Zitiervorschlag: Eingangsformel KWMV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