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KWMV — Zuständigkeit des Bundesamtes für Wirtschaft und Ausfuhrkontrolle (BAFA)</w:t>
      </w:r>
    </w:p>
    <w:p>
      <w:r>
        <w:rPr>
          <w:color w:val="555555"/>
          <w:sz w:val="18"/>
        </w:rPr>
        <w:t xml:space="preserve">Kriegswaffenmeldeverordnung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Zuständigkeit für die Verfolgung und Ahndung von Ordnungswidrigkeiten nach § 4 wird auf das Bundesamt für Wirtschaft und Ausfuhrkontrolle (BAFA) übertragen.</w:t>
      </w:r>
    </w:p>
    <w:p>
      <w:r>
        <w:rPr>
          <w:color w:val="555555"/>
          <w:sz w:val="17"/>
        </w:rPr>
        <w:t xml:space="preserve">Zitiervorschlag: § 5 KWMV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https://recht.nulegal.eu/gesetze/KWMV/5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KWMV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