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KWMV — Ordnungswidrigkeiten</w:t>
      </w:r>
    </w:p>
    <w:p>
      <w:r>
        <w:rPr>
          <w:color w:val="555555"/>
          <w:sz w:val="18"/>
        </w:rPr>
        <w:t xml:space="preserve">Kriegswaffenmeldeverordnung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22b Abs. 1 Nr. 3a des Gesetzes über die Kontrolle von Kriegswaffen handelt, wer vorsätzlich oder fahrlässig entgegen § 1 eine Meldung nicht, nicht richtig, nicht vollständig oder nicht rechtzeitig erstattet.</w:t>
      </w:r>
    </w:p>
    <w:p>
      <w:r>
        <w:rPr>
          <w:color w:val="555555"/>
          <w:sz w:val="17"/>
        </w:rPr>
        <w:t xml:space="preserve">Zitiervorschlag: § 4 KWMV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https://recht.nulegal.eu/gesetze/KWMV/4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