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KWMV — Meldepflichten nach § 7 des Ausführungsgesetzes zum Übereinkommen über das Verbot des Einsatzes, der Lagerung, der Herstellung und der Weitergabe von Antipersonenminen und über deren Vernichtung vom 3. Dezember 1997</w:t>
      </w:r>
    </w:p>
    <w:p>
      <w:r>
        <w:rPr>
          <w:color w:val="555555"/>
          <w:sz w:val="18"/>
        </w:rPr>
        <w:t xml:space="preserve">Kriegswaffenmeldeverordnung</w:t>
      </w:r>
    </w:p>
    <w:p>
      <w:r>
        <w:rPr>
          <w:color w:val="555555"/>
          <w:sz w:val="18"/>
        </w:rPr>
        <w:t xml:space="preserve">Stand: 10.06.2019 (konsolidierte Textfassung, kein amtliches Inkrafttretensdatum)</w:t>
      </w:r>
    </w:p>
    <w:p>
      <w:r>
        <w:t xml:space="preserve">(1) Unternehmen oder Privatpersonen, die Antipersonenminen im Sinne von Absatz 2 in ihrem Eigentum oder Besitz haben oder in sonstiger Weise die tatsächliche Gewalt über sie ausüben, haben dem Bundesamt für Wirtschaft und Ausfuhrkontrolle (BAFA) Meldungen abzugeben über</w:t>
      </w:r>
    </w:p>
    <w:p>
      <w:pPr>
        <w:ind w:left="420"/>
      </w:pPr>
      <w:r>
        <w:t xml:space="preserve">1. die Gesamtzahl aller gelagerten Antipersonenminen, aufgeschlüsselt nach Art und Menge und wenn möglich unter Angabe der Losnummern jeder Art von gelagerten Antipersonenminen,</w:t>
      </w:r>
    </w:p>
    <w:p>
      <w:pPr>
        <w:ind w:left="420"/>
      </w:pPr>
      <w:r>
        <w:t xml:space="preserve">2. die Art, Menge und nach Möglichkeit über die Losnummern aller für die Entwicklung von Verfahren zur Minensuche, Minenräumung und Minenvernichtung und die Ausbildung in diesen Verfahren zurückbehaltenen oder weitergegebenen oder zum Zweck der Vernichtung weitergegebenen Antipersonenminen,</w:t>
      </w:r>
    </w:p>
    <w:p>
      <w:pPr>
        <w:ind w:left="420"/>
      </w:pPr>
      <w:r>
        <w:t xml:space="preserve">3. den Stand der Programme zur Vernichtung von Antipersonenminen, einschließlich ausführlicher Methoden, die bei der Vernichtung nach Artikel 4 des Übereinkommens über das Verbot des Einsatzes, der Lagerung, der Herstellung und der Weitergabe von Antipersonenminen und über deren Vernichtung vom 3. Dezember 1997 angewandt werden, die Lage aller Vernichtungsstätten und die zu beachtenden einschlägigen Sicherheits- und Umweltschutznormen,</w:t>
      </w:r>
    </w:p>
    <w:p>
      <w:pPr>
        <w:ind w:left="420"/>
      </w:pPr>
      <w:r>
        <w:t xml:space="preserve">4. die Art und Menge aller Antipersonenminen, die seit dem 1. März 1999 nach Artikel 4 des Übereinkommens über das Verbot des Einsatzes, der Lagerung, der Herstellung und der Weitergabe von Antipersonenminen und über deren Vernichtung vom 3. Dezember 1997 vernichtet worden sind, aufgeschlüsselt nach der Menge der einzelnen Arten und nach Möglichkeit unter Angabe der Losnummern der einzelnen Arten von Antipersonenminen,</w:t>
      </w:r>
    </w:p>
    <w:p>
      <w:pPr>
        <w:ind w:left="420"/>
      </w:pPr>
      <w:r>
        <w:t xml:space="preserve">5. die technischen Merkmale jeder hergestellten Art von Antipersonenminen, soweit sie bekannt sind, und die Weitergabe von Informationen, die geeignet sind, die Identifizierung und Räumung von Antipersonenminen zu erleichtern; dazu gehören zumindest die Abmessungen, die Zündvorrichtung, der Sprengstoff- und der Metallanteil, Farbfotos und sonstige Informationen, welche die Minenräumung erleichtern können.</w:t>
      </w:r>
    </w:p>
    <w:p>
      <w:r>
        <w:t xml:space="preserve">(2) Für Antipersonenminen gilt die Begriffsbestimmung des Artikels 2 des Übereinkommens über das Verbot des Einsatzes, der Lagerung, der Herstellung und der Weitergabe von Antipersonenminen und über deren Vernichtung vom 3. Dezember 1997.</w:t>
      </w:r>
    </w:p>
    <w:p>
      <w:r>
        <w:t xml:space="preserve">(3) Die Meldungen sind spätestens binnen 2 Wochen nach dem 31. März eines jeden Kalenderjahres für das vorangegangene Kalenderjahr, erstmals am 28. Juni 1999 abzugeben.</w:t>
      </w:r>
    </w:p>
    <w:p>
      <w:r>
        <w:t xml:space="preserve">(4) § 2 Abs. 2 Satz 1 dieser Verordnung gilt entsprechend.</w:t>
      </w:r>
    </w:p>
    <w:p>
      <w:r>
        <w:rPr>
          <w:color w:val="555555"/>
          <w:sz w:val="17"/>
        </w:rPr>
        <w:t xml:space="preserve">Zitiervorschlag: § 3 KWMV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https://recht.nulegal.eu/gesetze/KWMV/3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KWMV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