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KWKG2002GebV</w:t>
      </w:r>
    </w:p>
    <w:p>
      <w:r>
        <w:rPr>
          <w:color w:val="555555"/>
          <w:sz w:val="18"/>
        </w:rPr>
        <w:t xml:space="preserve">Kraft-Wärme-Kopplungsgesetz-Gebührenverordnung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11 Abs. 2 des Kraft-Wärme-Kopplungsgesetzes vom 19. März 2002 (BGBl. I S. 1092) in Verbindung mit dem 2. Abschnitt des Verwaltungskostengesetzes vom 23. Juni 1970 (BGBl. I S. 821)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KWKG2002GebV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https://recht.nulegal.eu/gesetze/KWKG2002GebV/eingangsformel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