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KWKG2002GebV — Inkrafttreten, Außerkrafttreten</w:t>
      </w:r>
    </w:p>
    <w:p>
      <w:r>
        <w:rPr>
          <w:color w:val="555555"/>
          <w:sz w:val="18"/>
        </w:rPr>
        <w:t xml:space="preserve">Kraft-Wärme-Kopplungsgesetz-Gebührenverordnung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 Sie tritt am 1. Oktober 2021 außer Kraft.</w:t>
      </w:r>
    </w:p>
    <w:p>
      <w:r>
        <w:rPr>
          <w:color w:val="555555"/>
          <w:sz w:val="17"/>
        </w:rPr>
        <w:t xml:space="preserve">Zitiervorschlag: § 4 KWKG2002GebV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https://recht.nulegal.eu/gesetze/KWKG2002GebV/4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