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KWKG 2016 — Verordnungsermächtigungen</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(1) Die Bundesregierung wird ermächtigt, durch Rechtsverordnung, die nicht der Zustimmung des Bundesrates bedarf,</w:t>
      </w:r>
    </w:p>
    <w:p>
      <w:pPr>
        <w:ind w:left="420"/>
      </w:pPr>
      <w:r>
        <w:t xml:space="preserve">1. Grundlagen und Berechnungsgrundsätze zur Bestimmung des Vergütungsanspruchs für vom Netzbetreiber kaufmännisch aufgenommenen KWK-Strom nach § 4 Absatz 2 und 3 näher zu bestimmen,</w:t>
      </w:r>
    </w:p>
    <w:p>
      <w:pPr>
        <w:ind w:left="420"/>
      </w:pPr>
      <w:r>
        <w:t xml:space="preserve">2. die Zuschlagzahlungen für KWK-Strom aus bestehenden KWK-Anlagen nach § 13 anzupassen, wenn dies erforderlich ist, um einen wirtschaftlichen Betrieb zu ermöglichen; eine Anpassung darf frühestens zum 1. Januar 2018 erfolgen und</w:t>
      </w:r>
    </w:p>
    <w:p>
      <w:pPr>
        <w:ind w:left="420"/>
      </w:pPr>
      <w:r>
        <w:t xml:space="preserve">3. in den in § 119 Absatz 1 des Energiewirtschaftsgesetzes genannten Fällen und unter den in § 119 Absatz 3 bis 5 des Energiewirtschaftsgesetzes genannten Voraussetzungen zu regeln, dass von der Zahlungspflicht der Umlage nach § 26 Absatz 1 abgewichen oder eine gezahlte KWKG-Umlage nach § 26 erstattet werden darf.</w:t>
      </w:r>
    </w:p>
    <w:p>
      <w:r>
        <w:t xml:space="preserve">(2) Die Bundesregierung wird ermächtigt, durch Rechtsverordnung, die nicht der Zustimmung des Bundesrates bedarf, mit Zustimmung des Bundestages</w:t>
      </w:r>
    </w:p>
    <w:p>
      <w:pPr>
        <w:ind w:left="420"/>
      </w:pPr>
      <w:r>
        <w:t xml:space="preserve">1. Zuschlagzahlungen für KWK-Strom, der nicht in ein Netz der allgemeinen Versorgung eingespeist wird, nach § 7 Absatz 3 für alle oder bestimmte Arten von KWK-Anlagen nach § 6 Absatz 3 Nummer 4 festzulegen, wenn die Erfüllung der Ausbauziele nach § 1 dies erfordert sowie wenn dies notwendig ist, um einen wirtschaftlichen Betrieb von Neuanlagen zu ermöglichen,</w:t>
      </w:r>
    </w:p>
    <w:p>
      <w:pPr>
        <w:ind w:left="420"/>
      </w:pPr>
      <w:r>
        <w:t xml:space="preserve">2. die Zuschlagzahlungen für KWK-Strom, der nicht in ein Netz der allgemeinen Versorgung eingespeist wird, anzupassen und auf andere als auf die in § 6 Absatz 3 und § 7 Absatz 2 und 3 genannten Leistungsklassen und Einsatzbereiche auszudehnen, soweit die Anpassung oder Ausdehnung erforderlich ist, um einen wirtschaftlichen Betrieb der Anlage zu ermöglichen, und</w:t>
      </w:r>
    </w:p>
    <w:p>
      <w:pPr>
        <w:ind w:left="420"/>
      </w:pPr>
      <w:r>
        <w:t xml:space="preserve">3. Zuschlagzahlungen für bestehende KWK-Anlagen einzuführen, welche KWK-Strom auf Basis von Steinkohle erzeugen, wenn dies erforderlich ist, um einen wirtschaftlichen Betrieb der KWK-Anlagen zu ermöglichen. Dabei bleiben Kostensteigerungen auf Grund eines Anstiegs der Zertifikatspreise im Emissionshandel unberücksichtigt. Grundlage der Bewertung ist die Evaluierung nach § 34 Absatz 2. Mit Ausnahme von § 13 Absatz 1 Nummer 1 findet im Übrigen § 13 entsprechend Anwendung.</w:t>
      </w:r>
    </w:p>
    <w:p>
      <w:r>
        <w:t xml:space="preserve">(3) Das Bundesministerium für Wirtschaft und Energie wird ermächtigt, durch Rechtsverordnung, die nicht der Zustimmung des Bundesrates bedarf,</w:t>
      </w:r>
    </w:p>
    <w:p>
      <w:pPr>
        <w:ind w:left="420"/>
      </w:pPr>
      <w:r>
        <w:t xml:space="preserve">1. (weggefallen)</w:t>
      </w:r>
    </w:p>
    <w:p>
      <w:pPr>
        <w:ind w:left="420"/>
      </w:pPr>
      <w:r>
        <w:t xml:space="preserve">2. die Durchführung der Aufgaben nach den §§ 10, 12, 20 und 24 ganz oder teilweise auf eine juristische Person des privaten Rechts zu übertragen, soweit die juristische Person geeignet ist, die Aufgaben ordnungsgemäß zu erfüllen.</w:t>
      </w:r>
    </w:p>
    <w:p>
      <w:r>
        <w:rPr>
          <w:color w:val="555555"/>
          <w:sz w:val="17"/>
        </w:rPr>
        <w:t xml:space="preserve">Zitiervorschlag: § 33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