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31a KWKG 2016 — Weitere Aufgaben des Bundesamtes für Wirtschaft und Ausfuhrkontrolle</w:t>
      </w:r>
    </w:p>
    <w:p>
      <w:r>
        <w:rPr>
          <w:color w:val="555555"/>
          <w:sz w:val="18"/>
        </w:rPr>
        <w:t xml:space="preserve">Kraft-Wärme-Kopplungsgesetz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Erstellung eines Testats zur Wirtschaftlichkeitsanalyse einschließlich des Kosten-Nutzen-Vergleichs im Sinn von § 3 Absatz 3 Satz 2 in Verbindung mit § 6 der KWK-Kosten-Nutzen-Vergleich-Verordnung ist das Bundesamt für Wirtschaft und Ausfuhrkontrolle zuständig.</w:t>
      </w:r>
    </w:p>
    <w:p>
      <w:r>
        <w:rPr>
          <w:color w:val="555555"/>
          <w:sz w:val="17"/>
        </w:rPr>
        <w:t xml:space="preserve">Zitiervorschlag: § 31a KWKG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https://recht.nulegal.eu/gesetze/KWKG%202016/31a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