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KWKG 2016 — Begrenzung der Höhe der KWKG-Umlage und der Zuschlagzahlungen</w:t>
      </w:r>
    </w:p>
    <w:p>
      <w:r>
        <w:rPr>
          <w:color w:val="555555"/>
          <w:sz w:val="18"/>
        </w:rPr>
        <w:t xml:space="preserve">Kraft-Wärme-Kopplungsgesetz</w:t>
      </w:r>
    </w:p>
    <w:p>
      <w:r>
        <w:rPr>
          <w:color w:val="555555"/>
          <w:sz w:val="18"/>
        </w:rPr>
        <w:t xml:space="preserve">Außer Kraft: § 29 ist seit 01.01.2023 nicht mehr im KWKG 2016 enthalten. Angezeigt wird die letzte bekannte Fassung, Stand 14.08.2020.</w:t>
      </w:r>
    </w:p>
    <w:p>
      <w:r>
        <w:t xml:space="preserve">(1) Die Summe der Zuschlagzahlungen für KWK-Strom aus neuen und bestehenden KWK-Anlagen nach den §§ 6 bis 13 und 35 und für Wärme- und Kältenetze sowie für Wärme- und Kältespeicher nach den §§ 18 bis 25 und 35 darf einen Betrag von 1,8 Milliarden Euro je Kalenderjahr nicht überschreiten.</w:t>
      </w:r>
    </w:p>
    <w:p>
      <w:r>
        <w:t xml:space="preserve">(2) Die Summe der Zuschlagzahlungen für Wärme- und Kältenetze sowie Wärme- und Kältespeicher nach den §§ 18 bis 25 darf 150 Millionen Euro je Kalenderjahr nicht überschreiten, es sei denn, die Einhaltung der Summe nach Absatz 1 kann unter Berücksichtigung der gemeldeten Prognosedaten nach § 26a Absatz 2 Satz 1 Nummer 1 für Zuschlagzahlungen für KWK-Strom und einer höheren Summe für Wärme- und Kältenetze sowie Wärme- und Kältespeicher insgesamt gewährleistet werden. Das Bundesamt für Wirtschaft und Ausfuhrkontrolle erteilt die Zulassungsbescheide</w:t>
      </w:r>
    </w:p>
    <w:p>
      <w:pPr>
        <w:ind w:left="420"/>
      </w:pPr>
      <w:r>
        <w:t xml:space="preserve">1. in der Reihenfolge des Eingangs des vollständigen Antrags nach § 20 Absatz 1 und § 24 Absatz 1,</w:t>
      </w:r>
    </w:p>
    <w:p>
      <w:pPr>
        <w:ind w:left="420"/>
      </w:pPr>
      <w:r>
        <w:t xml:space="preserve">2. unter Berücksichtigung der jährlichen Kostenwirkungen im Hinblick auf den in Satz 1 genannten Betrag sowie</w:t>
      </w:r>
    </w:p>
    <w:p>
      <w:pPr>
        <w:ind w:left="420"/>
      </w:pPr>
      <w:r>
        <w:t xml:space="preserve">3. unter Berücksichtigung der gleichmäßigen unterjährigen Zahlungswirkung.</w:t>
      </w:r>
    </w:p>
    <w:p>
      <w:r>
        <w:t xml:space="preserve">Darüber hinausgehende Beträge werden in der Reihenfolge der Antragstellung zur Auszahlung in den Folgejahren beschieden. Die Auszahlung der Zuschlagzahlungen durch die Übertragungsnetzbetreiber erfolgt in dem im Zulassungsbescheid ausgewiesenen Kalenderjahr und Kalendermonat.</w:t>
      </w:r>
    </w:p>
    <w:p>
      <w:r>
        <w:t xml:space="preserve">(3) Droht auf Grundlage der gemeldeten Prognosedaten nach § 26a Absatz 2 Satz 1 Nummer 1 und 2 im folgenden Kalenderjahr eine Überschreitung der Obergrenze nach Absatz 1, so werden die Zuschlagzahlungen für alle KWK-Anlagen nach den §§ 6 und 13 mit einer elektrischen KWK-Leistung von mehr als 2 Megawatt entsprechend für das folgende Kalenderjahr gekürzt.</w:t>
      </w:r>
    </w:p>
    <w:p>
      <w:r>
        <w:t xml:space="preserve">(3a) Die Zuschlagzahlungen für KWK-Strom aus KWK-Anlagen, deren Förderung durch Ausschreibungen nach § 8a oder § 8b ermittelt worden ist, sind gegenüber der sonstigen Förderung nach diesem Gesetz vorrangig und werden nicht nach Absatz 3 gekürzt.</w:t>
      </w:r>
    </w:p>
    <w:p>
      <w:r>
        <w:t xml:space="preserve">(4) Die Übertragungsnetzbetreiber übermitteln dem Bundesamt für Wirtschaft und Ausfuhrkontrolle die zur Ermittlung der Kürzung der Zuschlagzahlungen nach Absatz 3 erforderlichen Daten auf Grundlage der gemeldeten Prognosedaten nach § 26a Absatz 2 Satz 1 Nummer 1 und 2 bis zum 30. September eines jeden Jahres, und zwar in nicht personenbezogener Form. Das Bundesamt für Wirtschaft und Ausfuhrkontrolle ermittelt die entsprechenden Kürzungssätze und veröffentlicht diese bis zum 20. Oktober eines jeden Jahres im Bundesanzeiger.</w:t>
      </w:r>
    </w:p>
    <w:p>
      <w:r>
        <w:t xml:space="preserve">(5) Die gekürzten Zuschlagzahlungen für den geförderten KWK-Strom werden in den Folgejahren in der Reihenfolge der Zulassung an die betreffenden Anlagenbetreiber nachgezahlt. Die Nachzahlungen erfolgen in der Reihenfolge der Anspruchsentstehung vorrangig vor den Ansprüchen auf KWK-Zuschlag der KWK-Anlagen aus dem Prognosejahr.</w:t>
      </w:r>
    </w:p>
    <w:p>
      <w:r>
        <w:rPr>
          <w:color w:val="555555"/>
          <w:sz w:val="17"/>
        </w:rPr>
        <w:t xml:space="preserve">Zitiervorschlag: § 29 KWKG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