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26a KWKG 2016 — Ermittlung der KWKG-Umlage</w:t>
      </w:r>
    </w:p>
    <w:p>
      <w:r>
        <w:rPr>
          <w:color w:val="555555"/>
          <w:sz w:val="18"/>
        </w:rPr>
        <w:t xml:space="preserve">Kraft-Wärme-Kopplungsgesetz</w:t>
      </w:r>
    </w:p>
    <w:p>
      <w:r>
        <w:rPr>
          <w:color w:val="555555"/>
          <w:sz w:val="18"/>
        </w:rPr>
        <w:t xml:space="preserve">Außer Kraft: § 26a ist seit 01.01.2023 nicht mehr im KWKG 2016 enthalten. Angezeigt wird die letzte bekannte Fassung, Stand 25.01.2021.</w:t>
      </w:r>
    </w:p>
    <w:p>
      <w:r>
        <w:t xml:space="preserve">(1) Die Übertragungsnetzbetreiber ermitteln die KWKG-Umlage für das folgende Kalenderjahr transparent aus den Angaben nach Absatz 2 in Cent pro Kilowattstunde; hierbei müssen die Jahresendabrechnungen der vorangegangenen Kalenderjahre berücksichtigt werden.</w:t>
      </w:r>
    </w:p>
    <w:p>
      <w:r>
        <w:t xml:space="preserve">(2) Für die Ermittlung der KWKG-Umlage nach Absatz 1 müssen den Übertragungsnetzbetreibern die folgenden Daten mitgeteilt werden:</w:t>
      </w:r>
    </w:p>
    <w:p>
      <w:pPr>
        <w:ind w:left="420"/>
      </w:pPr>
      <w:r>
        <w:t xml:space="preserve">1. von den Netzbetreibern bis zum 31. August eines Kalenderjahres elektronisch</w:t>
      </w:r>
    </w:p>
    <w:p>
      <w:pPr>
        <w:ind w:left="780"/>
      </w:pPr>
      <w:r>
        <w:t xml:space="preserve">a) die für das folgende Kalenderjahr prognostizierten KWK-Strommengen für Anlagen nach den §§ 6, 9, 13 und 35,</w:t>
      </w:r>
    </w:p>
    <w:p>
      <w:pPr>
        <w:ind w:left="780"/>
      </w:pPr>
      <w:r>
        <w:t xml:space="preserve">b) die für das folgende Kalenderjahr prognostizierten KWK-Strommengen für Anlagen nach den §§ 8a und 8b sowie die Höhe der entsprechenden Ausschreibungszuschläge,</w:t>
      </w:r>
    </w:p>
    <w:p>
      <w:pPr>
        <w:ind w:left="780"/>
      </w:pPr>
      <w:r>
        <w:t xml:space="preserve">c) die für das folgende Kalenderjahr prognostizierten auszuzahlenden Boni nach den §§ 7a bis 7c,</w:t>
      </w:r>
    </w:p>
    <w:p>
      <w:pPr>
        <w:ind w:left="780"/>
      </w:pPr>
      <w:r>
        <w:t xml:space="preserve">d) die Summe der prognostizierten Stromabgaben an alle Letztverbraucher im Bereich ihres Netzes,</w:t>
      </w:r>
    </w:p>
    <w:p>
      <w:pPr>
        <w:ind w:left="780"/>
      </w:pPr>
      <w:r>
        <w:t xml:space="preserve">e) die prognostizierten Stromabgaben an Letztverbraucher, die nach den §§ 26, 27a, 27b oder § 27c Absatz 1 umlagepflichtig sind, und</w:t>
      </w:r>
    </w:p>
    <w:p>
      <w:pPr>
        <w:ind w:left="780"/>
      </w:pPr>
      <w:r>
        <w:t xml:space="preserve">f) die prognostizierten Stromabgaben an Letztverbraucher, die der Regelung des § 36 Absatz 3 unterfallen, sowie deren voraussichtliche Umlagenhöhe,</w:t>
      </w:r>
    </w:p>
    <w:p>
      <w:pPr>
        <w:ind w:left="420"/>
      </w:pPr>
      <w:r>
        <w:t xml:space="preserve">2. vom Bundesamt für Wirtschaft und Ausfuhrkontrolle</w:t>
      </w:r>
    </w:p>
    <w:p>
      <w:pPr>
        <w:ind w:left="780"/>
      </w:pPr>
      <w:r>
        <w:t xml:space="preserve">a) bis zum 15. September eines Kalenderjahres</w:t>
      </w:r>
    </w:p>
    <w:p>
      <w:pPr>
        <w:ind w:left="1140"/>
      </w:pPr>
      <w:r>
        <w:t xml:space="preserve">aa) die zur Auszahlung für das folgende Kalenderjahr prognostizierte Fördersumme für Wärme- und Kältenetze differenziert nach Regelzonen,</w:t>
      </w:r>
    </w:p>
    <w:p>
      <w:pPr>
        <w:ind w:left="1140"/>
      </w:pPr>
      <w:r>
        <w:t xml:space="preserve">bb) die zur Auszahlung für das folgende Kalenderjahr prognostizierte Fördersumme für Wärme- und Kältespeicher, differenziert nach Regelzonen, und</w:t>
      </w:r>
    </w:p>
    <w:p>
      <w:pPr>
        <w:ind w:left="780"/>
      </w:pPr>
      <w:r>
        <w:t xml:space="preserve">b) die von den stromkostenintensiven Unternehmen in den Anträgen nach § 66 des Erneuerbare-Energien-Gesetzes nach § 27 Absatz 3 Nummer 1 abgegebenen Prognosen unverzüglich nach Ablauf der Antragsfrist.</w:t>
      </w:r>
    </w:p>
    <w:p>
      <w:r>
        <w:t xml:space="preserve">Bei der Meldung nach Satz 1 Nummer 2 Buchstabe a hat das Bundesamt für Wirtschaft und Ausfuhrkontrolle Anträge, die aufgrund der Begrenzung der Zuschlagsumme nach § 29 Absatz 3 nicht berücksichtigt wurden, in der Zuschlagsumme für das jeweils nächste Kalenderjahr zu berücksichtigen. Für die Zwecke des Satzes 1 Nummer 1 teilen die Übertragungsnetzbetreiber die nach Satz 1 Nummer 2 Buchstabe b vom Bundesamt für Wirtschaft und Ausfuhrkontrolle erhaltenen Prognosedaten den zuständigen Netzbetreibern unverzüglich mit.</w:t>
      </w:r>
    </w:p>
    <w:p>
      <w:r>
        <w:t xml:space="preserve">(3) Die Übertragungsnetzbetreiber müssen bei der Ermittlung der KWKG-Umlage nach Absatz 1 die Sorgfalt eines ordentlichen und gewissenhaften Kaufmanns anwenden.</w:t>
      </w:r>
    </w:p>
    <w:p>
      <w:r>
        <w:t xml:space="preserve">(4) Werden erforderliche Daten nach Absatz 2 Satz 1 Nummer 1 nicht oder nicht fristgerecht den Übertragungsnetzbetreibern mitgeteilt, sind die Übertragungsnetzbetreiber berechtigt, die Daten für die Ermittlung der KWKG-Umlage zu schätzen.</w:t>
      </w:r>
    </w:p>
    <w:p>
      <w:r>
        <w:rPr>
          <w:color w:val="555555"/>
          <w:sz w:val="17"/>
        </w:rPr>
        <w:t xml:space="preserve">Zitiervorschlag: § 26a KWKG 2016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https://recht.nulegal.eu/gesetze/KWKG%202016/26a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