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KWKG 2016 — Finanzierung der Zuschlagszahlungen</w:t>
      </w:r>
    </w:p>
    <w:p>
      <w:r>
        <w:rPr>
          <w:color w:val="555555"/>
          <w:sz w:val="18"/>
        </w:rPr>
        <w:t xml:space="preserve">Kraft-Wärme-Kopplungsgesetz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Finanzierung der Ausgaben der Netzbetreiber nach diesem Gesetz und nach aufgrund dieses Gesetzes erlassener Rechtsverordnungen bestimmt sich nach dem Energiefinanzierungsgesetz.</w:t>
      </w:r>
    </w:p>
    <w:p>
      <w:r>
        <w:rPr>
          <w:color w:val="555555"/>
          <w:sz w:val="17"/>
        </w:rPr>
        <w:t xml:space="preserve">Zitiervorschlag: § 26 KWKG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https://recht.nulegal.eu/gesetze/KWKG%202016/26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KWKG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